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document.xml" ContentType="application/vnd.openxmlformats-officedocument.wordprocessingml.document.main+xml"/>
  <Override PartName="/word/fontTable.xml" ContentType="application/vnd.openxmlformats-officedocument.wordprocessingml.fontTable+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numbering.xml" ContentType="application/vnd.openxmlformats-officedocument.wordprocessingml.numbering+xml"/>
  <Override PartName="/word/header4.xml" ContentType="application/vnd.openxmlformats-officedocument.wordprocessingml.header+xml"/>
  <Override PartName="/word/settings.xml" ContentType="application/vnd.openxmlformats-officedocument.wordprocessingml.settings+xml"/>
  <Override PartName="/word/theme/theme1.xml" ContentType="application/vnd.openxmlformats-officedocument.theme+xml"/>
  <Override PartName="/word/styles.xml" ContentType="application/vnd.openxmlformats-officedocument.wordprocessingml.styles+xml"/>
  <Override PartName="/word/footer4.xml" ContentType="application/vnd.openxmlformats-officedocument.wordprocessingml.footer+xml"/>
  <Override PartName="/word/fonts/font1.odttf" ContentType="application/vnd.openxmlformats-officedocument.obfuscatedFont"/>
  <Override PartName="/word/fonts/font7.odttf" ContentType="application/vnd.openxmlformats-officedocument.obfuscatedFont"/>
  <Override PartName="/word/fonts/font2.odttf" ContentType="application/vnd.openxmlformats-officedocument.obfuscatedFont"/>
  <Override PartName="/word/fonts/font8.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10.odttf" ContentType="application/vnd.openxmlformats-officedocument.obfuscatedFont"/>
  <Override PartName="/word/fonts/font3.odttf" ContentType="application/vnd.openxmlformats-officedocument.obfuscatedFont"/>
  <Override PartName="/word/fonts/font9.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jc w:val="center"/>
        <w:rPr>
          <w:lang w:val="pt-BR"/>
        </w:rPr>
      </w:pPr>
      <w:r>
        <w:rPr>
          <w:lang w:val="pt-BR"/>
        </w:rPr>
      </w:r>
    </w:p>
    <w:p>
      <w:pPr>
        <w:pStyle w:val="normal1"/>
        <w:jc w:val="center"/>
        <w:rPr>
          <w:lang w:val="pt-BR"/>
        </w:rPr>
      </w:pPr>
      <w:r>
        <w:rPr>
          <w:lang w:val="pt-BR"/>
        </w:rPr>
        <w:drawing>
          <wp:anchor distT="0" distB="0" distL="0" distR="0" simplePos="0" relativeHeight="29" behindDoc="0" locked="0" layoutInCell="1" allowOverlap="1">
            <wp:simplePos x="0" y="0"/>
            <wp:positionH relativeFrom="column">
              <wp:posOffset>266700</wp:posOffset>
            </wp:positionH>
            <wp:positionV relativeFrom="paragraph">
              <wp:posOffset>6350</wp:posOffset>
            </wp:positionV>
            <wp:extent cx="1500505" cy="495300"/>
            <wp:effectExtent l="0" t="0" r="0" b="0"/>
            <wp:wrapNone/>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png"/>
                    <pic:cNvPicPr>
                      <a:picLocks noChangeAspect="1" noChangeArrowheads="1"/>
                    </pic:cNvPicPr>
                  </pic:nvPicPr>
                  <pic:blipFill>
                    <a:blip r:embed="rId2"/>
                    <a:stretch>
                      <a:fillRect/>
                    </a:stretch>
                  </pic:blipFill>
                  <pic:spPr bwMode="auto">
                    <a:xfrm>
                      <a:off x="0" y="0"/>
                      <a:ext cx="1500505" cy="495300"/>
                    </a:xfrm>
                    <a:prstGeom prst="rect">
                      <a:avLst/>
                    </a:prstGeom>
                    <a:noFill/>
                  </pic:spPr>
                </pic:pic>
              </a:graphicData>
            </a:graphic>
          </wp:anchor>
        </w:drawing>
      </w:r>
    </w:p>
    <w:p>
      <w:pPr>
        <w:pStyle w:val="normal1"/>
        <w:jc w:val="center"/>
        <w:rPr>
          <w:lang w:val="pt-BR"/>
        </w:rPr>
      </w:pPr>
      <w:r>
        <w:rPr>
          <w:lang w:val="pt-BR"/>
        </w:rPr>
        <mc:AlternateContent>
          <mc:Choice Requires="wpg">
            <w:drawing>
              <wp:anchor distT="635" distB="635" distL="1270" distR="0" simplePos="0" relativeHeight="30" behindDoc="0" locked="0" layoutInCell="1" allowOverlap="1">
                <wp:simplePos x="0" y="0"/>
                <wp:positionH relativeFrom="column">
                  <wp:posOffset>203200</wp:posOffset>
                </wp:positionH>
                <wp:positionV relativeFrom="paragraph">
                  <wp:posOffset>-252095</wp:posOffset>
                </wp:positionV>
                <wp:extent cx="5791200" cy="1461770"/>
                <wp:effectExtent l="1270" t="635" r="0" b="635"/>
                <wp:wrapNone/>
                <wp:docPr id="2" name="Forma1"/>
                <a:graphic xmlns:a="http://schemas.openxmlformats.org/drawingml/2006/main">
                  <a:graphicData uri="http://schemas.microsoft.com/office/word/2010/wordprocessingGroup">
                    <wpg:wgp>
                      <wpg:cNvGrpSpPr/>
                      <wpg:grpSpPr>
                        <a:xfrm>
                          <a:off x="0" y="0"/>
                          <a:ext cx="5791320" cy="1461600"/>
                          <a:chOff x="0" y="0"/>
                          <a:chExt cx="5791320" cy="1461600"/>
                        </a:xfrm>
                      </wpg:grpSpPr>
                      <wpg:grpSp>
                        <wpg:cNvGrpSpPr/>
                        <wpg:grpSpPr>
                          <a:xfrm>
                            <a:off x="0" y="0"/>
                            <a:ext cx="5791320" cy="1461600"/>
                          </a:xfrm>
                        </wpg:grpSpPr>
                        <wps:wsp>
                          <wps:cNvPr id="3" name="Shape 4"/>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4" name="Shape 58"/>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5" name="Shape 60"/>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6" name="Shape 62"/>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7" name="Shape 64"/>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8" name="Shape 66"/>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9" name="Shape 68"/>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10" name="Shape 70"/>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11" name="Shape 72"/>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5791320" cy="1461600"/>
                                            </a:xfrm>
                                          </wpg:grpSpPr>
                                          <wps:wsp>
                                            <wps:cNvPr id="12" name="Shape 74"/>
                                            <wps:cNvSpPr/>
                                            <wps:spPr>
                                              <a:xfrm>
                                                <a:off x="0" y="0"/>
                                                <a:ext cx="5791320" cy="146160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4320" y="5040"/>
                                                <a:ext cx="5781600" cy="1452240"/>
                                              </a:xfrm>
                                            </wpg:grpSpPr>
                                            <wps:wsp>
                                              <wps:cNvPr id="13" name="Shape 76"/>
                                              <wps:cNvSpPr/>
                                              <wps:spPr>
                                                <a:xfrm>
                                                  <a:off x="0" y="0"/>
                                                  <a:ext cx="5769000" cy="144468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s:wsp>
                                              <wps:cNvPr id="14" name="Shape 77"/>
                                              <wps:cNvSpPr/>
                                              <wps:spPr>
                                                <a:xfrm>
                                                  <a:off x="0" y="0"/>
                                                  <a:ext cx="5781600" cy="1433160"/>
                                                </a:xfrm>
                                                <a:prstGeom prst="rect">
                                                  <a:avLst/>
                                                </a:prstGeom>
                                                <a:noFill/>
                                                <a:ln w="9525">
                                                  <a:solidFill>
                                                    <a:srgbClr val="000000"/>
                                                  </a:solidFill>
                                                  <a:miter/>
                                                </a:ln>
                                              </wps:spPr>
                                              <wps:style>
                                                <a:lnRef idx="0"/>
                                                <a:fillRef idx="0"/>
                                                <a:effectRef idx="0"/>
                                                <a:fontRef idx="minor"/>
                                              </wps:style>
                                              <wps:txbx>
                                                <w:txbxContent>
                                                  <w:p>
                                                    <w:pPr>
                                                      <w:pStyle w:val="normal1"/>
                                                      <w:spacing w:lineRule="auto" w:line="276" w:before="0" w:after="0"/>
                                                      <w:ind w:hanging="0" w:start="0" w:end="0"/>
                                                      <w:jc w:val="end"/>
                                                      <w:rPr/>
                                                    </w:pPr>
                                                    <w:r>
                                                      <w:rPr>
                                                        <w:rFonts w:eastAsia="Calibri" w:cs="Calibri" w:ascii="Calibri" w:hAnsi="Calibri"/>
                                                        <w:b w:val="false"/>
                                                        <w:i w:val="false"/>
                                                        <w:caps w:val="false"/>
                                                        <w:smallCaps w:val="false"/>
                                                        <w:strike w:val="false"/>
                                                        <w:dstrike w:val="false"/>
                                                        <w:color w:val="000000"/>
                                                        <w:position w:val="0"/>
                                                        <w:sz w:val="22"/>
                                                        <w:vertAlign w:val="baseline"/>
                                                      </w:rPr>
                                                      <w:t xml:space="preserve">                                                                                        </w:t>
                                                    </w:r>
                                                  </w:p>
                                                </w:txbxContent>
                                              </wps:txbx>
                                              <wps:bodyPr lIns="0" tIns="0" rIns="0" bIns="0" anchor="t">
                                                <a:noAutofit/>
                                              </wps:bodyPr>
                                            </wps:wsp>
                                            <wps:wsp>
                                              <wps:cNvPr id="15" name="Shape 78"/>
                                              <wps:cNvSpPr/>
                                              <wps:spPr>
                                                <a:xfrm>
                                                  <a:off x="8280" y="1075680"/>
                                                  <a:ext cx="5772240" cy="376560"/>
                                                </a:xfrm>
                                                <a:prstGeom prst="rect">
                                                  <a:avLst/>
                                                </a:prstGeom>
                                                <a:solidFill>
                                                  <a:schemeClr val="accent1"/>
                                                </a:solidFill>
                                                <a:ln cap="rnd" w="9525">
                                                  <a:solidFill>
                                                    <a:srgbClr val="000000"/>
                                                  </a:solidFill>
                                                  <a:round/>
                                                </a:ln>
                                              </wps:spPr>
                                              <wps:style>
                                                <a:lnRef idx="0"/>
                                                <a:fillRef idx="0"/>
                                                <a:effectRef idx="0"/>
                                                <a:fontRef idx="minor"/>
                                              </wps:style>
                                              <wps:txbx>
                                                <w:txbxContent>
                                                  <w:p>
                                                    <w:pPr>
                                                      <w:pStyle w:val="normal1"/>
                                                      <w:spacing w:lineRule="auto" w:line="240" w:before="0" w:after="0"/>
                                                      <w:ind w:hanging="0" w:start="0" w:end="0"/>
                                                      <w:jc w:val="center"/>
                                                      <w:rPr/>
                                                    </w:pPr>
                                                    <w:r>
                                                      <w:rPr>
                                                        <w:rFonts w:eastAsia="Trebuchet MS" w:cs="Trebuchet MS" w:ascii="Trebuchet MS" w:hAnsi="Trebuchet MS"/>
                                                        <w:b/>
                                                        <w:i w:val="false"/>
                                                        <w:caps w:val="false"/>
                                                        <w:smallCaps w:val="false"/>
                                                        <w:strike w:val="false"/>
                                                        <w:dstrike w:val="false"/>
                                                        <w:color w:val="FFFFFF"/>
                                                        <w:position w:val="0"/>
                                                        <w:sz w:val="18"/>
                                                        <w:vertAlign w:val="baseline"/>
                                                      </w:rPr>
                                                      <w:t>UNIVERSIDADE FEDERAL FLUMINENSE</w:t>
                                                    </w:r>
                                                  </w:p>
                                                  <w:p>
                                                    <w:pPr>
                                                      <w:pStyle w:val="normal1"/>
                                                      <w:spacing w:lineRule="auto" w:line="240" w:before="0" w:after="0"/>
                                                      <w:ind w:hanging="0" w:start="0" w:end="0"/>
                                                      <w:jc w:val="center"/>
                                                      <w:rPr/>
                                                    </w:pPr>
                                                    <w:r>
                                                      <w:rPr>
                                                        <w:rFonts w:eastAsia="Trebuchet MS" w:cs="Trebuchet MS" w:ascii="Trebuchet MS" w:hAnsi="Trebuchet MS"/>
                                                        <w:b/>
                                                        <w:i w:val="false"/>
                                                        <w:caps w:val="false"/>
                                                        <w:smallCaps w:val="false"/>
                                                        <w:strike w:val="false"/>
                                                        <w:dstrike w:val="false"/>
                                                        <w:color w:val="FFFFFF"/>
                                                        <w:position w:val="0"/>
                                                        <w:sz w:val="18"/>
                                                        <w:vertAlign w:val="baseline"/>
                                                      </w:rPr>
                                                      <w:t>PRÓ-REITORIA DE ADMINISTRAÇÃO</w:t>
                                                    </w:r>
                                                  </w:p>
                                                </w:txbxContent>
                                              </wps:txbx>
                                              <wps:bodyPr lIns="0" tIns="0" rIns="0" bIns="0" anchor="t">
                                                <a:noAutofit/>
                                              </wps:bodyPr>
                                            </wps:wsp>
                                            <wps:wsp>
                                              <wps:cNvPr id="16" name="Shape 79"/>
                                              <wps:cNvSpPr/>
                                              <wps:spPr>
                                                <a:xfrm>
                                                  <a:off x="1850400" y="138600"/>
                                                  <a:ext cx="2434680" cy="820440"/>
                                                </a:xfrm>
                                                <a:prstGeom prst="rect">
                                                  <a:avLst/>
                                                </a:prstGeom>
                                                <a:noFill/>
                                                <a:ln w="0">
                                                  <a:noFill/>
                                                </a:ln>
                                              </wps:spPr>
                                              <wps:style>
                                                <a:lnRef idx="0"/>
                                                <a:fillRef idx="0"/>
                                                <a:effectRef idx="0"/>
                                                <a:fontRef idx="minor"/>
                                              </wps:style>
                                              <wps:txbx>
                                                <w:txbxContent>
                                                  <w:p>
                                                    <w:pPr>
                                                      <w:pStyle w:val="normal1"/>
                                                      <w:spacing w:lineRule="auto" w:line="276" w:before="0" w:after="0"/>
                                                      <w:ind w:hanging="0" w:start="0" w:end="0"/>
                                                      <w:jc w:val="center"/>
                                                      <w:rPr/>
                                                    </w:pPr>
                                                    <w:r>
                                                      <w:rPr>
                                                        <w:rFonts w:eastAsia="Verdana" w:cs="Verdana" w:ascii="Verdana" w:hAnsi="Verdana"/>
                                                        <w:b/>
                                                        <w:i w:val="false"/>
                                                        <w:smallCaps/>
                                                        <w:strike w:val="false"/>
                                                        <w:dstrike w:val="false"/>
                                                        <w:color w:val="000000"/>
                                                        <w:position w:val="0"/>
                                                        <w:sz w:val="28"/>
                                                        <w:vertAlign w:val="baseline"/>
                                                      </w:rPr>
                                                      <w:t>COORDENAÇÃO DE LICITAÇÃO</w:t>
                                                    </w:r>
                                                  </w:p>
                                                  <w:p>
                                                    <w:pPr>
                                                      <w:pStyle w:val="normal1"/>
                                                      <w:spacing w:lineRule="auto" w:line="276" w:before="0" w:after="0"/>
                                                      <w:ind w:hanging="0" w:start="0" w:end="0"/>
                                                      <w:jc w:val="center"/>
                                                      <w:rPr/>
                                                    </w:pPr>
                                                    <w:r>
                                                      <w:rPr>
                                                        <w:rFonts w:eastAsia="Arial" w:cs="Arial" w:ascii="Arial" w:hAnsi="Arial"/>
                                                        <w:b/>
                                                        <w:i w:val="false"/>
                                                        <w:smallCaps/>
                                                        <w:strike w:val="false"/>
                                                        <w:dstrike w:val="false"/>
                                                        <w:color w:val="000000"/>
                                                        <w:position w:val="0"/>
                                                        <w:sz w:val="21"/>
                                                        <w:vertAlign w:val="baseline"/>
                                                      </w:rPr>
                                                      <w:t>EDITAL</w:t>
                                                    </w:r>
                                                  </w:p>
                                                </w:txbxContent>
                                              </wps:txbx>
                                              <wps:bodyPr lIns="0" tIns="0" rIns="0" bIns="0" anchor="t">
                                                <a:noAutofit/>
                                              </wps:bodyPr>
                                            </wps:wsp>
                                          </wpg:grpSp>
                                        </wpg:grpSp>
                                      </wpg:grpSp>
                                    </wpg:grpSp>
                                  </wpg:grpSp>
                                </wpg:grpSp>
                              </wpg:grpSp>
                            </wpg:grpSp>
                          </wpg:grpSp>
                        </wpg:grpSp>
                      </wpg:grpSp>
                    </wpg:wgp>
                  </a:graphicData>
                </a:graphic>
              </wp:anchor>
            </w:drawing>
          </mc:Choice>
          <mc:Fallback>
            <w:pict>
              <v:group id="shape_0" alt="Forma1" style="position:absolute;margin-left:16pt;margin-top:-19.85pt;width:456pt;height:115.1pt" coordorigin="320,-397" coordsize="9120,2302">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0;top:-397;width:9120;height:2302">
                                    <v:rect id="shape_0" stroked="f" o:allowincell="f" style="position:absolute;left:320;top:-397;width:9119;height:230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27;top:-389;width:9105;height:2287">
                                      <v:rect id="shape_0" stroked="f" o:allowincell="f" style="position:absolute;left:327;top:-389;width:9084;height:2274;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rect id="shape_0" stroked="t" o:allowincell="f" style="position:absolute;left:327;top:-389;width:9104;height:2256;mso-wrap-style:square;v-text-anchor:top">
                                        <v:fill o:detectmouseclick="t" on="false"/>
                                        <v:stroke color="black" weight="9360" joinstyle="miter" endcap="flat"/>
                                        <v:textbox>
                                          <w:txbxContent>
                                            <w:p>
                                              <w:pPr>
                                                <w:pStyle w:val="normal1"/>
                                                <w:spacing w:lineRule="auto" w:line="276" w:before="0" w:after="0"/>
                                                <w:ind w:hanging="0" w:start="0" w:end="0"/>
                                                <w:jc w:val="end"/>
                                                <w:rPr/>
                                              </w:pPr>
                                              <w:r>
                                                <w:rPr>
                                                  <w:rFonts w:eastAsia="Calibri" w:cs="Calibri" w:ascii="Calibri" w:hAnsi="Calibri"/>
                                                  <w:b w:val="false"/>
                                                  <w:i w:val="false"/>
                                                  <w:caps w:val="false"/>
                                                  <w:smallCaps w:val="false"/>
                                                  <w:strike w:val="false"/>
                                                  <w:dstrike w:val="false"/>
                                                  <w:color w:val="000000"/>
                                                  <w:position w:val="0"/>
                                                  <w:sz w:val="22"/>
                                                  <w:vertAlign w:val="baseline"/>
                                                </w:rPr>
                                                <w:t xml:space="preserve">                                                                                        </w:t>
                                              </w:r>
                                            </w:p>
                                          </w:txbxContent>
                                        </v:textbox>
                                        <w10:wrap type="none"/>
                                      </v:rect>
                                      <v:rect id="shape_0" fillcolor="#4f81bd" stroked="t" o:allowincell="f" style="position:absolute;left:340;top:1305;width:9089;height:592;mso-wrap-style:square;v-text-anchor:top">
                                        <v:fill o:detectmouseclick="t" type="solid" color2="#b07e42"/>
                                        <v:stroke color="black" weight="9360" joinstyle="round" endcap="round"/>
                                        <v:textbox>
                                          <w:txbxContent>
                                            <w:p>
                                              <w:pPr>
                                                <w:pStyle w:val="normal1"/>
                                                <w:spacing w:lineRule="auto" w:line="240" w:before="0" w:after="0"/>
                                                <w:ind w:hanging="0" w:start="0" w:end="0"/>
                                                <w:jc w:val="center"/>
                                                <w:rPr/>
                                              </w:pPr>
                                              <w:r>
                                                <w:rPr>
                                                  <w:rFonts w:eastAsia="Trebuchet MS" w:cs="Trebuchet MS" w:ascii="Trebuchet MS" w:hAnsi="Trebuchet MS"/>
                                                  <w:b/>
                                                  <w:i w:val="false"/>
                                                  <w:caps w:val="false"/>
                                                  <w:smallCaps w:val="false"/>
                                                  <w:strike w:val="false"/>
                                                  <w:dstrike w:val="false"/>
                                                  <w:color w:val="FFFFFF"/>
                                                  <w:position w:val="0"/>
                                                  <w:sz w:val="18"/>
                                                  <w:vertAlign w:val="baseline"/>
                                                </w:rPr>
                                                <w:t>UNIVERSIDADE FEDERAL FLUMINENSE</w:t>
                                              </w:r>
                                            </w:p>
                                            <w:p>
                                              <w:pPr>
                                                <w:pStyle w:val="normal1"/>
                                                <w:spacing w:lineRule="auto" w:line="240" w:before="0" w:after="0"/>
                                                <w:ind w:hanging="0" w:start="0" w:end="0"/>
                                                <w:jc w:val="center"/>
                                                <w:rPr/>
                                              </w:pPr>
                                              <w:r>
                                                <w:rPr>
                                                  <w:rFonts w:eastAsia="Trebuchet MS" w:cs="Trebuchet MS" w:ascii="Trebuchet MS" w:hAnsi="Trebuchet MS"/>
                                                  <w:b/>
                                                  <w:i w:val="false"/>
                                                  <w:caps w:val="false"/>
                                                  <w:smallCaps w:val="false"/>
                                                  <w:strike w:val="false"/>
                                                  <w:dstrike w:val="false"/>
                                                  <w:color w:val="FFFFFF"/>
                                                  <w:position w:val="0"/>
                                                  <w:sz w:val="18"/>
                                                  <w:vertAlign w:val="baseline"/>
                                                </w:rPr>
                                                <w:t>PRÓ-REITORIA DE ADMINISTRAÇÃO</w:t>
                                              </w:r>
                                            </w:p>
                                          </w:txbxContent>
                                        </v:textbox>
                                        <w10:wrap type="none"/>
                                      </v:rect>
                                      <v:rect id="shape_0" stroked="f" o:allowincell="f" style="position:absolute;left:3241;top:-171;width:3833;height:1291;mso-wrap-style:square;v-text-anchor:top">
                                        <v:fill o:detectmouseclick="t" on="false"/>
                                        <v:stroke color="#3465a4" joinstyle="round" endcap="flat"/>
                                        <v:textbox>
                                          <w:txbxContent>
                                            <w:p>
                                              <w:pPr>
                                                <w:pStyle w:val="normal1"/>
                                                <w:spacing w:lineRule="auto" w:line="276" w:before="0" w:after="0"/>
                                                <w:ind w:hanging="0" w:start="0" w:end="0"/>
                                                <w:jc w:val="center"/>
                                                <w:rPr/>
                                              </w:pPr>
                                              <w:r>
                                                <w:rPr>
                                                  <w:rFonts w:eastAsia="Verdana" w:cs="Verdana" w:ascii="Verdana" w:hAnsi="Verdana"/>
                                                  <w:b/>
                                                  <w:i w:val="false"/>
                                                  <w:smallCaps/>
                                                  <w:strike w:val="false"/>
                                                  <w:dstrike w:val="false"/>
                                                  <w:color w:val="000000"/>
                                                  <w:position w:val="0"/>
                                                  <w:sz w:val="28"/>
                                                  <w:vertAlign w:val="baseline"/>
                                                </w:rPr>
                                                <w:t>COORDENAÇÃO DE LICITAÇÃO</w:t>
                                              </w:r>
                                            </w:p>
                                            <w:p>
                                              <w:pPr>
                                                <w:pStyle w:val="normal1"/>
                                                <w:spacing w:lineRule="auto" w:line="276" w:before="0" w:after="0"/>
                                                <w:ind w:hanging="0" w:start="0" w:end="0"/>
                                                <w:jc w:val="center"/>
                                                <w:rPr/>
                                              </w:pPr>
                                              <w:r>
                                                <w:rPr>
                                                  <w:rFonts w:eastAsia="Arial" w:cs="Arial" w:ascii="Arial" w:hAnsi="Arial"/>
                                                  <w:b/>
                                                  <w:i w:val="false"/>
                                                  <w:smallCaps/>
                                                  <w:strike w:val="false"/>
                                                  <w:dstrike w:val="false"/>
                                                  <w:color w:val="000000"/>
                                                  <w:position w:val="0"/>
                                                  <w:sz w:val="21"/>
                                                  <w:vertAlign w:val="baseline"/>
                                                </w:rPr>
                                                <w:t>EDITAL</w:t>
                                              </w:r>
                                            </w:p>
                                          </w:txbxContent>
                                        </v:textbox>
                                        <w10:wrap type="none"/>
                                      </v:rect>
                                    </v:group>
                                  </v:group>
                                </v:group>
                              </v:group>
                            </v:group>
                          </v:group>
                        </v:group>
                      </v:group>
                    </v:group>
                  </v:group>
                </v:group>
              </v:group>
            </w:pict>
          </mc:Fallback>
        </mc:AlternateContent>
      </w:r>
    </w:p>
    <w:p>
      <w:pPr>
        <w:pStyle w:val="normal1"/>
        <w:jc w:val="center"/>
        <w:rPr>
          <w:lang w:val="pt-BR"/>
        </w:rPr>
      </w:pPr>
      <w:r>
        <w:rPr>
          <w:lang w:val="pt-BR"/>
        </w:rPr>
      </w:r>
    </w:p>
    <w:p>
      <w:pPr>
        <w:pStyle w:val="normal1"/>
        <w:jc w:val="center"/>
        <w:rPr>
          <w:lang w:val="pt-BR"/>
        </w:rPr>
      </w:pPr>
      <w:r>
        <w:rPr>
          <w:lang w:val="pt-BR"/>
        </w:rPr>
      </w:r>
    </w:p>
    <w:p>
      <w:pPr>
        <w:pStyle w:val="normal1"/>
        <w:jc w:val="center"/>
        <w:rPr>
          <w:lang w:val="pt-BR"/>
        </w:rPr>
      </w:pPr>
      <w:r>
        <w:rPr>
          <w:lang w:val="pt-BR"/>
        </w:rPr>
      </w:r>
    </w:p>
    <w:p>
      <w:pPr>
        <w:pStyle w:val="normal1"/>
        <w:jc w:val="center"/>
        <w:rPr>
          <w:lang w:val="pt-BR"/>
        </w:rPr>
      </w:pPr>
      <w:r>
        <w:rPr>
          <w:lang w:val="pt-BR"/>
        </w:rPr>
      </w:r>
    </w:p>
    <w:p>
      <w:pPr>
        <w:pStyle w:val="normal1"/>
        <w:jc w:val="center"/>
        <w:rPr>
          <w:lang w:val="pt-BR"/>
        </w:rPr>
      </w:pPr>
      <w:r>
        <w:rPr>
          <w:lang w:val="pt-BR"/>
        </w:rPr>
      </w:r>
    </w:p>
    <w:p>
      <w:pPr>
        <w:pStyle w:val="normal1"/>
        <w:spacing w:lineRule="auto" w:line="120" w:before="100" w:after="0"/>
        <w:ind w:hanging="0" w:start="737"/>
        <w:jc w:val="center"/>
        <w:rPr>
          <w:rFonts w:ascii="Arial" w:hAnsi="Arial" w:eastAsia="Arial" w:cs="Arial"/>
          <w:b/>
          <w:bCs/>
          <w:sz w:val="40"/>
          <w:szCs w:val="40"/>
          <w:lang w:val="pt-BR"/>
        </w:rPr>
      </w:pPr>
      <w:r>
        <w:rPr>
          <w:rFonts w:eastAsia="Arial" w:cs="Arial" w:ascii="Arial" w:hAnsi="Arial"/>
          <w:b/>
          <w:bCs/>
          <w:sz w:val="40"/>
          <w:szCs w:val="40"/>
          <w:lang w:val="pt-BR"/>
        </w:rPr>
      </w:r>
    </w:p>
    <w:p>
      <w:pPr>
        <w:pStyle w:val="normal1"/>
        <w:spacing w:lineRule="auto" w:line="276" w:before="100" w:after="0"/>
        <w:ind w:hanging="0" w:start="851"/>
        <w:jc w:val="center"/>
        <w:rPr>
          <w:lang w:val="pt-BR"/>
        </w:rPr>
      </w:pPr>
      <w:r>
        <w:rPr>
          <w:rFonts w:eastAsia="Arial" w:cs="Arial" w:ascii="Arial" w:hAnsi="Arial"/>
          <w:b/>
          <w:bCs/>
          <w:color w:val="0D4096"/>
          <w:sz w:val="40"/>
          <w:szCs w:val="40"/>
          <w:lang w:val="pt-BR"/>
        </w:rPr>
        <w:t>Pregão Eletrônico Nº 90.021/2026</w:t>
      </w:r>
    </w:p>
    <w:p>
      <w:pPr>
        <w:pStyle w:val="normal1"/>
        <w:jc w:val="center"/>
        <w:rPr>
          <w:rFonts w:ascii="Arial" w:hAnsi="Arial" w:eastAsia="Arial" w:cs="Arial"/>
          <w:sz w:val="22"/>
          <w:szCs w:val="22"/>
          <w:u w:val="single"/>
          <w:lang w:val="pt-BR"/>
        </w:rPr>
      </w:pPr>
      <w:r>
        <w:rPr>
          <w:rFonts w:eastAsia="Arial" w:cs="Arial" w:ascii="Arial" w:hAnsi="Arial"/>
          <w:sz w:val="22"/>
          <w:szCs w:val="22"/>
          <w:u w:val="single"/>
          <w:lang w:val="pt-BR"/>
        </w:rPr>
      </w:r>
    </w:p>
    <w:p>
      <w:pPr>
        <w:pStyle w:val="normal1"/>
        <w:spacing w:lineRule="auto" w:line="259"/>
        <w:rPr>
          <w:rFonts w:ascii="Arial" w:hAnsi="Arial" w:eastAsia="Arial" w:cs="Arial"/>
          <w:b/>
          <w:bCs/>
          <w:lang w:val="pt-BR"/>
        </w:rPr>
      </w:pPr>
      <w:r>
        <w:rPr>
          <w:rFonts w:eastAsia="Arial" w:cs="Arial" w:ascii="Arial" w:hAnsi="Arial"/>
          <w:b/>
          <w:bCs/>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CONTRATANTE/GERENCIADOR (UASG)</w:t>
      </w:r>
    </w:p>
    <w:p>
      <w:pPr>
        <w:pStyle w:val="normal1"/>
        <w:rPr>
          <w:lang w:val="pt-BR"/>
        </w:rPr>
      </w:pPr>
      <w:r>
        <w:rPr>
          <w:rFonts w:eastAsia="Arial" w:cs="Arial" w:ascii="Arial" w:hAnsi="Arial"/>
          <w:sz w:val="28"/>
          <w:szCs w:val="28"/>
          <w:lang w:val="pt-BR"/>
        </w:rPr>
        <w:t>PRÓ-REITORIA DE ADMINISTRAÇÃO (150182)</w:t>
      </w:r>
    </w:p>
    <w:p>
      <w:pPr>
        <w:pStyle w:val="normal1"/>
        <w:spacing w:lineRule="auto" w:line="259"/>
        <w:jc w:val="both"/>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 xml:space="preserve">PROCESSO Nº </w:t>
      </w:r>
    </w:p>
    <w:p>
      <w:pPr>
        <w:pStyle w:val="normal1"/>
        <w:spacing w:lineRule="auto" w:line="259"/>
        <w:jc w:val="both"/>
        <w:rPr>
          <w:lang w:val="pt-BR"/>
        </w:rPr>
      </w:pPr>
      <w:r>
        <w:rPr>
          <w:rFonts w:eastAsia="Arial" w:cs="Arial" w:ascii="Arial" w:hAnsi="Arial"/>
          <w:color w:val="434343"/>
          <w:sz w:val="28"/>
          <w:szCs w:val="28"/>
          <w:lang w:val="pt-BR"/>
        </w:rPr>
        <w:t>23069.193846/2025-51</w:t>
      </w:r>
    </w:p>
    <w:p>
      <w:pPr>
        <w:pStyle w:val="normal1"/>
        <w:spacing w:lineRule="auto" w:line="259"/>
        <w:jc w:val="both"/>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OBJETO</w:t>
      </w:r>
    </w:p>
    <w:p>
      <w:pPr>
        <w:pStyle w:val="normal1"/>
        <w:jc w:val="both"/>
        <w:rPr>
          <w:rFonts w:ascii="Arial" w:hAnsi="Arial" w:eastAsia="Arial" w:cs="Arial"/>
          <w:sz w:val="28"/>
          <w:szCs w:val="28"/>
          <w:lang w:val="pt-BR"/>
        </w:rPr>
      </w:pPr>
      <w:bookmarkStart w:id="0" w:name="_heading=h.gjdgxs"/>
      <w:bookmarkEnd w:id="0"/>
      <w:r>
        <w:rPr>
          <w:rFonts w:eastAsia="Arial" w:cs="Arial" w:ascii="Arial" w:hAnsi="Arial"/>
          <w:sz w:val="28"/>
          <w:szCs w:val="28"/>
          <w:lang w:val="pt-BR"/>
        </w:rPr>
        <w:t>Registro de Preços Aquisição de Eletrodomésticos, ar-condicionado, bebedouro e outros.</w:t>
      </w:r>
    </w:p>
    <w:p>
      <w:pPr>
        <w:pStyle w:val="normal1"/>
        <w:jc w:val="both"/>
        <w:rPr>
          <w:rFonts w:ascii="Arial" w:hAnsi="Arial" w:eastAsia="Arial" w:cs="Arial"/>
          <w:color w:val="FF0000"/>
          <w:sz w:val="28"/>
          <w:szCs w:val="28"/>
          <w:lang w:val="pt-BR"/>
        </w:rPr>
      </w:pPr>
      <w:r>
        <w:rPr>
          <w:rFonts w:eastAsia="Arial" w:cs="Arial" w:ascii="Arial" w:hAnsi="Arial"/>
          <w:color w:val="FF0000"/>
          <w:sz w:val="28"/>
          <w:szCs w:val="28"/>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 xml:space="preserve">VALOR TOTAL ESTIMADO </w:t>
      </w:r>
    </w:p>
    <w:p>
      <w:pPr>
        <w:pStyle w:val="normal1"/>
        <w:rPr>
          <w:lang w:val="pt-BR"/>
        </w:rPr>
      </w:pPr>
      <w:r>
        <w:rPr>
          <w:rFonts w:eastAsia="Arial" w:cs="Arial" w:ascii="Arial" w:hAnsi="Arial"/>
          <w:b/>
          <w:bCs/>
          <w:sz w:val="28"/>
          <w:szCs w:val="28"/>
          <w:lang w:val="pt-BR"/>
        </w:rPr>
        <w:t>R$ 12.168.378,67</w:t>
      </w:r>
    </w:p>
    <w:p>
      <w:pPr>
        <w:pStyle w:val="normal1"/>
        <w:spacing w:lineRule="auto" w:line="259"/>
        <w:jc w:val="both"/>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DATA DA SESSÃO PÚBLICA</w:t>
      </w:r>
    </w:p>
    <w:p>
      <w:pPr>
        <w:pStyle w:val="normal1"/>
        <w:rPr>
          <w:b/>
          <w:bCs/>
          <w:color w:val="000000"/>
        </w:rPr>
      </w:pPr>
      <w:r>
        <w:rPr>
          <w:rFonts w:eastAsia="Arial" w:cs="Arial" w:ascii="Arial" w:hAnsi="Arial"/>
          <w:b/>
          <w:bCs/>
          <w:color w:val="000000"/>
          <w:sz w:val="28"/>
          <w:szCs w:val="28"/>
          <w:lang w:val="pt-BR"/>
        </w:rPr>
        <w:t xml:space="preserve">Dia </w:t>
      </w:r>
      <w:r>
        <w:rPr>
          <w:rFonts w:eastAsia="Arial" w:cs="Arial" w:ascii="Arial" w:hAnsi="Arial"/>
          <w:b/>
          <w:bCs/>
          <w:color w:val="000000"/>
          <w:sz w:val="28"/>
          <w:szCs w:val="28"/>
          <w:lang w:val="pt-BR"/>
        </w:rPr>
        <w:t>24/06/2026</w:t>
      </w:r>
      <w:r>
        <w:rPr>
          <w:rFonts w:eastAsia="Arial" w:cs="Arial" w:ascii="Arial" w:hAnsi="Arial"/>
          <w:b/>
          <w:bCs/>
          <w:color w:val="000000"/>
          <w:sz w:val="28"/>
          <w:szCs w:val="28"/>
          <w:lang w:val="pt-BR"/>
        </w:rPr>
        <w:t xml:space="preserve"> às </w:t>
      </w:r>
      <w:r>
        <w:rPr>
          <w:rFonts w:eastAsia="Arial" w:cs="Arial" w:ascii="Arial" w:hAnsi="Arial"/>
          <w:b/>
          <w:bCs/>
          <w:color w:val="000000"/>
          <w:sz w:val="28"/>
          <w:szCs w:val="28"/>
          <w:lang w:val="pt-BR"/>
        </w:rPr>
        <w:t>10:00</w:t>
      </w:r>
      <w:r>
        <w:rPr>
          <w:rFonts w:eastAsia="Arial" w:cs="Arial" w:ascii="Arial" w:hAnsi="Arial"/>
          <w:b/>
          <w:bCs/>
          <w:color w:val="000000"/>
          <w:sz w:val="28"/>
          <w:szCs w:val="28"/>
          <w:lang w:val="pt-BR"/>
        </w:rPr>
        <w:t xml:space="preserve">h </w:t>
      </w:r>
      <w:r>
        <w:rPr>
          <w:rFonts w:eastAsia="Arial" w:cs="Arial" w:ascii="Arial" w:hAnsi="Arial"/>
          <w:b/>
          <w:bCs/>
          <w:color w:val="000000"/>
          <w:sz w:val="28"/>
          <w:szCs w:val="28"/>
          <w:lang w:val="pt-BR"/>
        </w:rPr>
        <w:t>(</w:t>
      </w:r>
      <w:r>
        <w:rPr>
          <w:rFonts w:eastAsia="Arial" w:cs="Arial" w:ascii="Arial" w:hAnsi="Arial"/>
          <w:b/>
          <w:bCs/>
          <w:color w:val="000000"/>
          <w:sz w:val="28"/>
          <w:szCs w:val="28"/>
          <w:lang w:val="pt-BR"/>
        </w:rPr>
        <w:t>horário de Brasília)</w:t>
      </w:r>
    </w:p>
    <w:p>
      <w:pPr>
        <w:pStyle w:val="normal1"/>
        <w:spacing w:lineRule="auto" w:line="259"/>
        <w:jc w:val="both"/>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Critério de Julgamento:</w:t>
      </w:r>
    </w:p>
    <w:p>
      <w:pPr>
        <w:pStyle w:val="normal1"/>
        <w:jc w:val="both"/>
        <w:rPr>
          <w:lang w:val="pt-BR"/>
        </w:rPr>
      </w:pPr>
      <w:r>
        <w:rPr>
          <w:rFonts w:eastAsia="Arial" w:cs="Arial" w:ascii="Arial" w:hAnsi="Arial"/>
          <w:sz w:val="28"/>
          <w:szCs w:val="28"/>
          <w:lang w:val="pt-BR"/>
        </w:rPr>
        <w:t xml:space="preserve">Menor Preço </w:t>
      </w:r>
    </w:p>
    <w:p>
      <w:pPr>
        <w:pStyle w:val="normal1"/>
        <w:spacing w:lineRule="auto" w:line="259"/>
        <w:jc w:val="both"/>
        <w:rPr>
          <w:rFonts w:ascii="Arial" w:hAnsi="Arial" w:eastAsia="Arial" w:cs="Arial"/>
          <w:b/>
          <w:bCs/>
          <w:color w:val="405CA1"/>
          <w:sz w:val="28"/>
          <w:szCs w:val="28"/>
          <w:highlight w:val="yellow"/>
          <w:lang w:val="pt-BR"/>
        </w:rPr>
      </w:pPr>
      <w:r>
        <w:rPr>
          <w:rFonts w:eastAsia="Arial" w:cs="Arial" w:ascii="Arial" w:hAnsi="Arial"/>
          <w:b/>
          <w:bCs/>
          <w:color w:val="405CA1"/>
          <w:sz w:val="28"/>
          <w:szCs w:val="28"/>
          <w:highlight w:val="yellow"/>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Modo de disputa:</w:t>
      </w:r>
    </w:p>
    <w:p>
      <w:pPr>
        <w:pStyle w:val="normal1"/>
        <w:jc w:val="both"/>
        <w:rPr>
          <w:lang w:val="pt-BR"/>
        </w:rPr>
      </w:pPr>
      <w:r>
        <w:rPr>
          <w:rFonts w:eastAsia="Arial" w:cs="Arial" w:ascii="Arial" w:hAnsi="Arial"/>
          <w:sz w:val="28"/>
          <w:szCs w:val="28"/>
          <w:lang w:val="pt-BR"/>
        </w:rPr>
        <w:t>Aberto</w:t>
      </w:r>
    </w:p>
    <w:p>
      <w:pPr>
        <w:pStyle w:val="normal1"/>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spacing w:lineRule="auto" w:line="259"/>
        <w:jc w:val="both"/>
        <w:rPr>
          <w:lang w:val="pt-BR"/>
        </w:rPr>
      </w:pPr>
      <w:r>
        <w:rPr>
          <w:rFonts w:eastAsia="Arial" w:cs="Arial" w:ascii="Arial" w:hAnsi="Arial"/>
          <w:b/>
          <w:bCs/>
          <w:color w:val="405CA1"/>
          <w:sz w:val="28"/>
          <w:szCs w:val="28"/>
          <w:highlight w:val="lightGray"/>
          <w:lang w:val="pt-BR"/>
        </w:rPr>
        <w:t>TRATAMENTO FAVORECIDO ME/EPP/EQUIPARADAS</w:t>
      </w:r>
    </w:p>
    <w:p>
      <w:pPr>
        <w:pStyle w:val="normal1"/>
        <w:spacing w:lineRule="auto" w:line="259"/>
        <w:jc w:val="both"/>
        <w:rPr>
          <w:color w:val="000000"/>
          <w:lang w:val="pt-BR"/>
        </w:rPr>
      </w:pPr>
      <w:r>
        <w:rPr>
          <w:rFonts w:eastAsia="Arial" w:cs="Arial" w:ascii="Arial" w:hAnsi="Arial"/>
          <w:color w:val="000000"/>
          <w:sz w:val="28"/>
          <w:szCs w:val="28"/>
          <w:lang w:val="pt-BR"/>
        </w:rPr>
        <w:t>Conforme Anexo III</w:t>
      </w:r>
    </w:p>
    <w:p>
      <w:pPr>
        <w:pStyle w:val="normal1"/>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spacing w:lineRule="auto" w:line="259"/>
        <w:jc w:val="both"/>
        <w:rPr>
          <w:lang w:val="pt-BR"/>
        </w:rPr>
      </w:pPr>
      <w:r>
        <w:rPr>
          <w:rFonts w:eastAsia="Arial" w:cs="Arial" w:ascii="Arial" w:hAnsi="Arial"/>
          <w:b/>
          <w:bCs/>
          <w:color w:val="405CA1"/>
          <w:sz w:val="26"/>
          <w:szCs w:val="26"/>
          <w:highlight w:val="lightGray"/>
          <w:lang w:val="pt-BR"/>
        </w:rPr>
        <w:t>MARGEM DE PREFERÊNCIA PARA ALGUM ITEM</w:t>
      </w:r>
    </w:p>
    <w:p>
      <w:pPr>
        <w:pStyle w:val="normal1"/>
        <w:rPr>
          <w:lang w:val="pt-BR"/>
        </w:rPr>
      </w:pPr>
      <w:r>
        <w:rPr>
          <w:rFonts w:eastAsia="Arial" w:cs="Arial" w:ascii="Arial" w:hAnsi="Arial"/>
          <w:color w:val="000000"/>
          <w:lang w:val="pt-BR"/>
        </w:rPr>
        <w:t>NÃO</w:t>
      </w:r>
    </w:p>
    <w:p>
      <w:pPr>
        <w:pStyle w:val="normal1"/>
        <w:rPr>
          <w:rFonts w:ascii="Arial" w:hAnsi="Arial" w:eastAsia="Arial" w:cs="Arial"/>
          <w:b/>
          <w:bCs/>
          <w:color w:val="405CA1"/>
          <w:sz w:val="28"/>
          <w:szCs w:val="28"/>
          <w:highlight w:val="lightGray"/>
          <w:lang w:val="pt-BR"/>
        </w:rPr>
      </w:pPr>
      <w:r>
        <w:rPr>
          <w:rFonts w:eastAsia="Arial" w:cs="Arial" w:ascii="Arial" w:hAnsi="Arial"/>
          <w:b/>
          <w:bCs/>
          <w:color w:val="405CA1"/>
          <w:sz w:val="28"/>
          <w:szCs w:val="28"/>
          <w:highlight w:val="lightGray"/>
          <w:lang w:val="pt-BR"/>
        </w:rPr>
      </w:r>
    </w:p>
    <w:p>
      <w:pPr>
        <w:pStyle w:val="normal1"/>
        <w:rPr>
          <w:lang w:val="pt-BR"/>
        </w:rPr>
      </w:pPr>
      <w:r>
        <w:rPr>
          <w:rFonts w:eastAsia="Arial" w:cs="Arial" w:ascii="Arial" w:hAnsi="Arial"/>
          <w:b/>
          <w:bCs/>
          <w:color w:val="405CA1"/>
          <w:sz w:val="28"/>
          <w:szCs w:val="28"/>
          <w:highlight w:val="lightGray"/>
          <w:lang w:val="pt-BR"/>
        </w:rPr>
        <w:t xml:space="preserve">PREGOEIRO  </w:t>
      </w:r>
    </w:p>
    <w:p>
      <w:pPr>
        <w:pStyle w:val="normal1"/>
        <w:rPr>
          <w:lang w:val="pt-BR"/>
        </w:rPr>
      </w:pPr>
      <w:r>
        <w:rPr>
          <w:rFonts w:eastAsia="Arial" w:cs="Arial" w:ascii="Arial" w:hAnsi="Arial"/>
          <w:sz w:val="26"/>
          <w:szCs w:val="26"/>
          <w:lang w:val="pt-BR"/>
        </w:rPr>
        <w:t>Fábio Medeiros de Souza</w:t>
      </w:r>
    </w:p>
    <w:p>
      <w:pPr>
        <w:pStyle w:val="normal1"/>
        <w:jc w:val="center"/>
        <w:rPr>
          <w:lang w:val="pt-BR"/>
        </w:rPr>
      </w:pPr>
      <w:r>
        <w:rPr/>
        <w:drawing>
          <wp:inline distT="0" distB="0" distL="0" distR="0">
            <wp:extent cx="4020820" cy="1285875"/>
            <wp:effectExtent l="0" t="0" r="0" b="0"/>
            <wp:docPr id="17" name="image1.png"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png" descr="IMG_256"/>
                    <pic:cNvPicPr>
                      <a:picLocks noChangeAspect="1" noChangeArrowheads="1"/>
                    </pic:cNvPicPr>
                  </pic:nvPicPr>
                  <pic:blipFill>
                    <a:blip r:embed="rId3"/>
                    <a:stretch>
                      <a:fillRect/>
                    </a:stretch>
                  </pic:blipFill>
                  <pic:spPr bwMode="auto">
                    <a:xfrm>
                      <a:off x="0" y="0"/>
                      <a:ext cx="4020820" cy="1285875"/>
                    </a:xfrm>
                    <a:prstGeom prst="rect">
                      <a:avLst/>
                    </a:prstGeom>
                    <a:noFill/>
                  </pic:spPr>
                </pic:pic>
              </a:graphicData>
            </a:graphic>
          </wp:inline>
        </w:drawing>
      </w:r>
    </w:p>
    <w:p>
      <w:pPr>
        <w:pStyle w:val="normal1"/>
        <w:spacing w:before="0" w:after="0"/>
        <w:rPr>
          <w:rFonts w:ascii="Arial" w:hAnsi="Arial" w:eastAsia="Arial" w:cs="Arial"/>
          <w:b/>
          <w:bCs/>
          <w:color w:val="5B5B5F"/>
          <w:sz w:val="28"/>
          <w:szCs w:val="28"/>
          <w:lang w:val="pt-BR"/>
        </w:rPr>
        <w:sectPr>
          <w:headerReference w:type="even" r:id="rId4"/>
          <w:headerReference w:type="default" r:id="rId5"/>
          <w:headerReference w:type="first" r:id="rId6"/>
          <w:footerReference w:type="even" r:id="rId7"/>
          <w:footerReference w:type="default" r:id="rId8"/>
          <w:footerReference w:type="first" r:id="rId9"/>
          <w:type w:val="nextPage"/>
          <w:pgSz w:w="11906" w:h="16838"/>
          <w:pgMar w:left="1134" w:right="1134" w:gutter="0" w:header="709" w:top="766" w:footer="709" w:bottom="1418"/>
          <w:pgNumType w:start="1" w:fmt="decimal"/>
          <w:formProt w:val="false"/>
          <w:titlePg/>
          <w:textDirection w:val="lrTb"/>
          <w:docGrid w:type="default" w:linePitch="100" w:charSpace="0"/>
        </w:sectPr>
      </w:pPr>
      <w:r>
        <w:rPr>
          <w:rFonts w:eastAsia="Arial" w:cs="Arial" w:ascii="Arial" w:hAnsi="Arial"/>
          <w:b/>
          <w:bCs/>
          <w:color w:val="5B5B5F"/>
          <w:sz w:val="28"/>
          <w:szCs w:val="28"/>
          <w:lang w:val="pt-BR"/>
        </w:rPr>
        <mc:AlternateContent>
          <mc:Choice Requires="wpg">
            <w:drawing>
              <wp:anchor distT="0" distB="0" distL="0" distR="0" simplePos="0" relativeHeight="45" behindDoc="0" locked="0" layoutInCell="1" allowOverlap="1">
                <wp:simplePos x="0" y="0"/>
                <wp:positionH relativeFrom="column">
                  <wp:posOffset>-201295</wp:posOffset>
                </wp:positionH>
                <wp:positionV relativeFrom="paragraph">
                  <wp:posOffset>292100</wp:posOffset>
                </wp:positionV>
                <wp:extent cx="6770370" cy="7539355"/>
                <wp:effectExtent l="0" t="0" r="0" b="0"/>
                <wp:wrapNone/>
                <wp:docPr id="18" name="Forma2"/>
                <a:graphic xmlns:a="http://schemas.openxmlformats.org/drawingml/2006/main">
                  <a:graphicData uri="http://schemas.microsoft.com/office/word/2010/wordprocessingGroup">
                    <wpg:wgp>
                      <wpg:cNvGrpSpPr/>
                      <wpg:grpSpPr>
                        <a:xfrm>
                          <a:off x="0" y="0"/>
                          <a:ext cx="6770520" cy="7539480"/>
                          <a:chOff x="0" y="0"/>
                          <a:chExt cx="6770520" cy="7539480"/>
                        </a:xfrm>
                      </wpg:grpSpPr>
                      <wpg:grpSp>
                        <wpg:cNvGrpSpPr/>
                        <wpg:grpSpPr>
                          <a:xfrm>
                            <a:off x="0" y="0"/>
                            <a:ext cx="6770520" cy="7539480"/>
                          </a:xfrm>
                        </wpg:grpSpPr>
                        <wps:wsp>
                          <wps:cNvPr id="19" name="Shape 4"/>
                          <wps:cNvSpPr/>
                          <wps:spPr>
                            <a:xfrm>
                              <a:off x="0" y="0"/>
                              <a:ext cx="6770520" cy="753948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70520" cy="7539480"/>
                            </a:xfrm>
                          </wpg:grpSpPr>
                          <wps:wsp>
                            <wps:cNvPr id="20" name="Shape 31"/>
                            <wps:cNvSpPr/>
                            <wps:spPr>
                              <a:xfrm>
                                <a:off x="0" y="0"/>
                                <a:ext cx="6770520" cy="753948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70520" cy="7539480"/>
                              </a:xfrm>
                            </wpg:grpSpPr>
                            <wps:wsp>
                              <wps:cNvPr id="21" name="Shape 33"/>
                              <wps:cNvSpPr/>
                              <wps:spPr>
                                <a:xfrm>
                                  <a:off x="0" y="0"/>
                                  <a:ext cx="6770520" cy="753948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70520" cy="7539480"/>
                                </a:xfrm>
                              </wpg:grpSpPr>
                              <wps:wsp>
                                <wps:cNvPr id="22" name="Shape 35"/>
                                <wps:cNvSpPr/>
                                <wps:spPr>
                                  <a:xfrm>
                                    <a:off x="0" y="0"/>
                                    <a:ext cx="6770520" cy="753948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720"/>
                                    <a:ext cx="6770520" cy="7538760"/>
                                  </a:xfrm>
                                </wpg:grpSpPr>
                                <wps:wsp>
                                  <wps:cNvPr id="23" name="Shape 37"/>
                                  <wps:cNvSpPr/>
                                  <wps:spPr>
                                    <a:xfrm>
                                      <a:off x="0" y="0"/>
                                      <a:ext cx="6770520" cy="753876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10080"/>
                                      <a:ext cx="6770520" cy="7526160"/>
                                    </a:xfrm>
                                  </wpg:grpSpPr>
                                  <wps:wsp>
                                    <wps:cNvPr id="24" name="Shape 39"/>
                                    <wps:cNvSpPr/>
                                    <wps:spPr>
                                      <a:xfrm>
                                        <a:off x="0" y="0"/>
                                        <a:ext cx="6770520" cy="752616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10080"/>
                                        <a:ext cx="6770520" cy="7505640"/>
                                      </a:xfrm>
                                    </wpg:grpSpPr>
                                    <wps:wsp>
                                      <wps:cNvPr id="25" name="Shape 41"/>
                                      <wps:cNvSpPr/>
                                      <wps:spPr>
                                        <a:xfrm>
                                          <a:off x="0" y="0"/>
                                          <a:ext cx="6770520" cy="750564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70520" cy="7505640"/>
                                        </a:xfrm>
                                      </wpg:grpSpPr>
                                      <wps:wsp>
                                        <wps:cNvPr id="26" name="Shape 43"/>
                                        <wps:cNvSpPr/>
                                        <wps:spPr>
                                          <a:xfrm>
                                            <a:off x="0" y="0"/>
                                            <a:ext cx="6770520" cy="750564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70520" cy="7505640"/>
                                          </a:xfrm>
                                        </wpg:grpSpPr>
                                        <wps:wsp>
                                          <wps:cNvPr id="27" name="Shape 45"/>
                                          <wps:cNvSpPr/>
                                          <wps:spPr>
                                            <a:xfrm>
                                              <a:off x="0" y="0"/>
                                              <a:ext cx="6770520" cy="74779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12600" y="0"/>
                                              <a:ext cx="6736680" cy="7505640"/>
                                            </a:xfrm>
                                          </wpg:grpSpPr>
                                          <wps:wsp>
                                            <wps:cNvPr id="28" name="Shape 47"/>
                                            <wps:cNvSpPr/>
                                            <wps:spPr>
                                              <a:xfrm>
                                                <a:off x="0" y="0"/>
                                                <a:ext cx="6736680" cy="74707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s:wsp>
                                            <wps:cNvPr id="29" name="Shape 48"/>
                                            <wps:cNvSpPr/>
                                            <wps:spPr>
                                              <a:xfrm>
                                                <a:off x="0" y="4604400"/>
                                                <a:ext cx="6732360" cy="79308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5</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Informações acerca de reaberturas de sessões de certames em andamento e prazos recursais serão divulgadas unicamente por meio de avisos/ comunicados pelo(a) Pregoeiro(a) responsável no sistema eletrônico Gov.br.</w:t>
                                                  </w:r>
                                                </w:p>
                                              </w:txbxContent>
                                            </wps:txbx>
                                            <wps:bodyPr lIns="0" tIns="0" rIns="0" bIns="0" anchor="t">
                                              <a:noAutofit/>
                                            </wps:bodyPr>
                                          </wps:wsp>
                                          <wps:wsp>
                                            <wps:cNvPr id="30" name="Shape 49"/>
                                            <wps:cNvSpPr/>
                                            <wps:spPr>
                                              <a:xfrm>
                                                <a:off x="3960" y="5480280"/>
                                                <a:ext cx="6717600" cy="97236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firstLine="300" w:start="0" w:end="0"/>
                                                    <w:jc w:val="both"/>
                                                    <w:rPr/>
                                                  </w:pPr>
                                                  <w:r>
                                                    <w:rPr/>
                                                  </w:r>
                                                </w:p>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6</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A CLI/AD não encaminha seus Editais e/ou Anexos diretamente ou de forma individualizada aos interessados, que poderão acessá-los nos sítios www.gov.br/compras, https://www.uff.br/licitacoes/ ou https://pncp.gov.br/app/editais?q=&amp;status=recebendo_proposta&amp;pagina=1</w:t>
                                                  </w:r>
                                                </w:p>
                                              </w:txbxContent>
                                            </wps:txbx>
                                            <wps:bodyPr lIns="0" tIns="0" rIns="0" bIns="0" anchor="t">
                                              <a:noAutofit/>
                                            </wps:bodyPr>
                                          </wps:wsp>
                                          <wps:wsp>
                                            <wps:cNvPr id="31" name="Shape 50"/>
                                            <wps:cNvSpPr/>
                                            <wps:spPr>
                                              <a:xfrm>
                                                <a:off x="3240" y="6527880"/>
                                                <a:ext cx="6732360" cy="97776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7</w:t>
                                                  </w:r>
                                                </w:p>
                                                <w:p>
                                                  <w:pPr>
                                                    <w:pStyle w:val="normal1"/>
                                                    <w:spacing w:lineRule="auto" w:line="240" w:before="0" w:after="0"/>
                                                    <w:ind w:hanging="0" w:start="0" w:end="0"/>
                                                    <w:jc w:val="center"/>
                                                    <w:rPr/>
                                                  </w:pPr>
                                                  <w:r>
                                                    <w:rPr>
                                                      <w:rFonts w:eastAsia="Verdana" w:cs="Verdana" w:ascii="Verdana" w:hAnsi="Verdana"/>
                                                      <w:b w:val="false"/>
                                                      <w:i w:val="false"/>
                                                      <w:caps w:val="false"/>
                                                      <w:smallCaps w:val="false"/>
                                                      <w:strike w:val="false"/>
                                                      <w:dstrike w:val="false"/>
                                                      <w:color w:val="FF0000"/>
                                                      <w:position w:val="0"/>
                                                      <w:sz w:val="20"/>
                                                      <w:vertAlign w:val="baseline"/>
                                                    </w:rPr>
                                                    <w:t>A CLI/AD desconsiderará todos os e-mails que tratam de atividades sob responsabilidade de outros setores, tais como: envios de notas de empenho, envio de atas de registro de preços, adesões a atas de registro de preços, contratos, envios de notas fiscais, pagamentos. Os contatos para tratar destes assuntos devem ser direcionados exclusivamente para o(s) respectivo(s) setor(es) responsável(eis).</w:t>
                                                  </w:r>
                                                </w:p>
                                                <w:p>
                                                  <w:pPr>
                                                    <w:pStyle w:val="normal1"/>
                                                    <w:spacing w:lineRule="auto" w:line="240" w:before="0" w:after="0"/>
                                                    <w:ind w:hanging="0" w:start="0" w:end="0"/>
                                                    <w:jc w:val="center"/>
                                                    <w:rPr/>
                                                  </w:pPr>
                                                  <w:r>
                                                    <w:rPr/>
                                                  </w:r>
                                                </w:p>
                                                <w:p>
                                                  <w:pPr>
                                                    <w:pStyle w:val="normal1"/>
                                                    <w:spacing w:lineRule="auto" w:line="240" w:before="0" w:after="0"/>
                                                    <w:ind w:firstLine="300" w:start="0" w:end="0"/>
                                                    <w:jc w:val="both"/>
                                                    <w:rPr/>
                                                  </w:pPr>
                                                  <w:r>
                                                    <w:rPr/>
                                                  </w:r>
                                                </w:p>
                                              </w:txbxContent>
                                            </wps:txbx>
                                            <wps:bodyPr lIns="0" tIns="0" rIns="0" bIns="0" anchor="t">
                                              <a:noAutofit/>
                                            </wps:bodyPr>
                                          </wps:wsp>
                                          <wps:wsp>
                                            <wps:cNvPr id="32" name="Shape 51"/>
                                            <wps:cNvSpPr/>
                                            <wps:spPr>
                                              <a:xfrm>
                                                <a:off x="285840" y="0"/>
                                                <a:ext cx="6198120" cy="558000"/>
                                              </a:xfrm>
                                              <a:prstGeom prst="roundRect">
                                                <a:avLst>
                                                  <a:gd name="adj" fmla="val 13032"/>
                                                </a:avLst>
                                              </a:prstGeom>
                                              <a:solidFill>
                                                <a:schemeClr val="lt2"/>
                                              </a:solidFill>
                                              <a:ln w="0">
                                                <a:noFill/>
                                              </a:ln>
                                            </wps:spPr>
                                            <wps:style>
                                              <a:lnRef idx="0"/>
                                              <a:fillRef idx="0"/>
                                              <a:effectRef idx="0"/>
                                              <a:fontRef idx="minor"/>
                                            </wps:style>
                                            <wps:txbx>
                                              <w:txbxContent>
                                                <w:p>
                                                  <w:pPr>
                                                    <w:pStyle w:val="normal1"/>
                                                    <w:spacing w:lineRule="auto" w:line="240" w:before="160" w:after="0"/>
                                                    <w:ind w:hanging="0" w:start="0" w:end="100"/>
                                                    <w:jc w:val="center"/>
                                                    <w:rPr/>
                                                  </w:pPr>
                                                  <w:r>
                                                    <w:rPr>
                                                      <w:rFonts w:eastAsia="Arial" w:cs="Arial" w:ascii="Arial" w:hAnsi="Arial"/>
                                                      <w:b/>
                                                      <w:i w:val="false"/>
                                                      <w:caps w:val="false"/>
                                                      <w:smallCaps w:val="false"/>
                                                      <w:strike w:val="false"/>
                                                      <w:dstrike w:val="false"/>
                                                      <w:color w:val="000000"/>
                                                      <w:position w:val="0"/>
                                                      <w:sz w:val="20"/>
                                                      <w:vertAlign w:val="baseline"/>
                                                    </w:rPr>
                                                    <w:t>A leitura das orientações abaixo não dispensa a leitura integral do Edital e de seus Anexos, bem como da legislação pertinente.</w:t>
                                                  </w:r>
                                                </w:p>
                                                <w:p>
                                                  <w:pPr>
                                                    <w:pStyle w:val="normal1"/>
                                                    <w:spacing w:lineRule="auto" w:line="240" w:before="0" w:after="0"/>
                                                    <w:ind w:hanging="0" w:start="0" w:end="0"/>
                                                    <w:jc w:val="both"/>
                                                    <w:rPr/>
                                                  </w:pPr>
                                                  <w:r>
                                                    <w:rPr/>
                                                  </w:r>
                                                </w:p>
                                                <w:p>
                                                  <w:pPr>
                                                    <w:pStyle w:val="normal1"/>
                                                    <w:spacing w:lineRule="auto" w:line="240" w:before="0" w:after="0"/>
                                                    <w:ind w:hanging="0" w:start="0" w:end="0"/>
                                                    <w:jc w:val="start"/>
                                                    <w:rPr/>
                                                  </w:pPr>
                                                  <w:r>
                                                    <w:rPr/>
                                                  </w:r>
                                                </w:p>
                                                <w:p>
                                                  <w:pPr>
                                                    <w:pStyle w:val="normal1"/>
                                                    <w:spacing w:lineRule="auto" w:line="240" w:before="0" w:after="0"/>
                                                    <w:ind w:hanging="0" w:start="0" w:end="0"/>
                                                    <w:jc w:val="start"/>
                                                    <w:rPr/>
                                                  </w:pPr>
                                                  <w:r>
                                                    <w:rPr/>
                                                  </w:r>
                                                </w:p>
                                              </w:txbxContent>
                                            </wps:txbx>
                                            <wps:bodyPr lIns="0" tIns="0" rIns="0" bIns="0" anchor="ctr">
                                              <a:noAutofit/>
                                            </wps:bodyPr>
                                          </wps:wsp>
                                          <wps:wsp>
                                            <wps:cNvPr id="33" name="Shape 52"/>
                                            <wps:cNvSpPr/>
                                            <wps:spPr>
                                              <a:xfrm>
                                                <a:off x="3960" y="666360"/>
                                                <a:ext cx="6732360" cy="116460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Toda e qualquer comunicação com a Coordenação de Licitação (CLI/AD) deverá ser realizada exclusivamente por meio eletrônico, utilizando-se unicamente do e-mail cpl@id.uff.br, sempre mencionando o número do Pregão ou, quando da sessão pública da disputa do certame, por intermédio do sistema eletrônico COMPRASNET, sendo que não serão prestadas informações por contato telefônico ou via outro endereço eletrônico que não o indicado neste Edital.</w:t>
                                                  </w:r>
                                                </w:p>
                                                <w:p>
                                                  <w:pPr>
                                                    <w:pStyle w:val="normal1"/>
                                                    <w:spacing w:lineRule="auto" w:line="240" w:before="0" w:after="0"/>
                                                    <w:ind w:hanging="0" w:start="0" w:end="0"/>
                                                    <w:jc w:val="start"/>
                                                    <w:rPr/>
                                                  </w:pPr>
                                                  <w:r>
                                                    <w:rPr/>
                                                  </w:r>
                                                </w:p>
                                                <w:p>
                                                  <w:pPr>
                                                    <w:pStyle w:val="normal1"/>
                                                    <w:spacing w:lineRule="auto" w:line="240" w:before="0" w:after="0"/>
                                                    <w:ind w:hanging="0" w:start="0" w:end="0"/>
                                                    <w:jc w:val="start"/>
                                                    <w:rPr/>
                                                  </w:pPr>
                                                  <w:r>
                                                    <w:rPr/>
                                                  </w:r>
                                                </w:p>
                                              </w:txbxContent>
                                            </wps:txbx>
                                            <wps:bodyPr lIns="0" tIns="0" rIns="0" bIns="0" anchor="t">
                                              <a:noAutofit/>
                                            </wps:bodyPr>
                                          </wps:wsp>
                                          <wps:wsp>
                                            <wps:cNvPr id="34" name="Shape 53"/>
                                            <wps:cNvSpPr/>
                                            <wps:spPr>
                                              <a:xfrm>
                                                <a:off x="3960" y="1938240"/>
                                                <a:ext cx="6732360" cy="84852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2</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Todos os pedidos de esclarecimento/impugnações serão respondidos em consonância com os prazos estipulados no Edital, não sendo necessário replicar o mesmo requerimento, ou ainda, proceder com contatos a fim de obter o prazo de resposta dos mesmos, restando aguardar.</w:t>
                                                  </w:r>
                                                </w:p>
                                              </w:txbxContent>
                                            </wps:txbx>
                                            <wps:bodyPr lIns="0" tIns="0" rIns="0" bIns="0" anchor="t">
                                              <a:noAutofit/>
                                            </wps:bodyPr>
                                          </wps:wsp>
                                          <wps:wsp>
                                            <wps:cNvPr id="35" name="Shape 54"/>
                                            <wps:cNvSpPr/>
                                            <wps:spPr>
                                              <a:xfrm>
                                                <a:off x="3960" y="2926080"/>
                                                <a:ext cx="6732360" cy="84024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 xml:space="preserve">3 </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 xml:space="preserve">Informações referentes a eventuais alterações e/ou republicações de avisos de licitação serão divulgadas exclusivamente por meio dos recursos oficiais de publicação, quais sejam: DOU, COMPRASNET, portal da Licitações UFF e PNCP. </w:t>
                                                  </w:r>
                                                </w:p>
                                                <w:p>
                                                  <w:pPr>
                                                    <w:pStyle w:val="normal1"/>
                                                    <w:spacing w:lineRule="auto" w:line="240" w:before="0" w:after="0"/>
                                                    <w:ind w:hanging="0" w:start="0" w:end="0"/>
                                                    <w:jc w:val="center"/>
                                                    <w:rPr/>
                                                  </w:pPr>
                                                  <w:r>
                                                    <w:rPr/>
                                                  </w:r>
                                                </w:p>
                                              </w:txbxContent>
                                            </wps:txbx>
                                            <wps:bodyPr lIns="0" tIns="0" rIns="0" bIns="0" anchor="t">
                                              <a:noAutofit/>
                                            </wps:bodyPr>
                                          </wps:wsp>
                                          <wps:wsp>
                                            <wps:cNvPr id="36" name="Shape 55"/>
                                            <wps:cNvSpPr/>
                                            <wps:spPr>
                                              <a:xfrm>
                                                <a:off x="3960" y="3853080"/>
                                                <a:ext cx="6732360" cy="67356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 xml:space="preserve">4 </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Não responderemos e-mails questionando sobre previsões de datas para republicações, bem como, não prestaremos informações por contato telefônico.</w:t>
                                                  </w:r>
                                                </w:p>
                                              </w:txbxContent>
                                            </wps:txbx>
                                            <wps:bodyPr lIns="0" tIns="0" rIns="0" bIns="0" anchor="t">
                                              <a:noAutofit/>
                                            </wps:bodyPr>
                                          </wps:wsp>
                                        </wpg:grpSp>
                                      </wpg:grpSp>
                                    </wpg:grpSp>
                                  </wpg:grpSp>
                                </wpg:grpSp>
                              </wpg:grpSp>
                            </wpg:grpSp>
                          </wpg:grpSp>
                        </wpg:grpSp>
                      </wpg:grpSp>
                    </wpg:wgp>
                  </a:graphicData>
                </a:graphic>
              </wp:anchor>
            </w:drawing>
          </mc:Choice>
          <mc:Fallback>
            <w:pict>
              <v:group id="shape_0" alt="Forma2" style="position:absolute;margin-left:-15.85pt;margin-top:23pt;width:533.1pt;height:593.65pt" coordorigin="-317,460" coordsize="10662,11873">
                <v:group id="shape_0" style="position:absolute;left:-317;top:460;width:10662;height:11873">
                  <v:rect id="shape_0" stroked="f" o:allowincell="f" style="position:absolute;left:-317;top:460;width:10661;height:11872;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60;width:10662;height:11873">
                    <v:rect id="shape_0" stroked="f" o:allowincell="f" style="position:absolute;left:-317;top:460;width:10661;height:11872;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60;width:10662;height:11873">
                      <v:rect id="shape_0" stroked="f" o:allowincell="f" style="position:absolute;left:-317;top:460;width:10661;height:11872;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60;width:10662;height:11873">
                        <v:rect id="shape_0" stroked="f" o:allowincell="f" style="position:absolute;left:-317;top:460;width:10661;height:11872;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61;width:10662;height:11872">
                          <v:rect id="shape_0" stroked="f" o:allowincell="f" style="position:absolute;left:-317;top:461;width:10661;height:1187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77;width:10662;height:11852">
                            <v:rect id="shape_0" stroked="f" o:allowincell="f" style="position:absolute;left:-317;top:477;width:10661;height:1185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93;width:10662;height:11821">
                              <v:rect id="shape_0" stroked="f" o:allowincell="f" style="position:absolute;left:-317;top:493;width:10661;height:11819;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93;width:10662;height:11821">
                                <v:rect id="shape_0" stroked="f" o:allowincell="f" style="position:absolute;left:-317;top:493;width:10661;height:11819;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317;top:493;width:10662;height:11821">
                                  <v:rect id="shape_0" stroked="f" o:allowincell="f" style="position:absolute;left:-317;top:493;width:10661;height:11775;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297;top:493;width:10609;height:11821">
                                    <v:rect id="shape_0" stroked="f" o:allowincell="f" style="position:absolute;left:-297;top:493;width:10608;height:11764;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rect id="shape_0" fillcolor="white" stroked="t" o:allowincell="f" style="position:absolute;left:-297;top:7744;width:10601;height:1248;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5</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Informações acerca de reaberturas de sessões de certames em andamento e prazos recursais serão divulgadas unicamente por meio de avisos/ comunicados pelo(a) Pregoeiro(a) responsável no sistema eletrônico Gov.br.</w:t>
                                            </w:r>
                                          </w:p>
                                        </w:txbxContent>
                                      </v:textbox>
                                      <w10:wrap type="none"/>
                                    </v:rect>
                                    <v:rect id="shape_0" fillcolor="white" stroked="t" o:allowincell="f" style="position:absolute;left:-291;top:9123;width:10578;height:1530;mso-wrap-style:square;v-text-anchor:top">
                                      <v:fill o:detectmouseclick="t" type="solid" color2="black"/>
                                      <v:stroke color="#4f81bd" weight="25560" joinstyle="round" endcap="flat"/>
                                      <v:textbox>
                                        <w:txbxContent>
                                          <w:p>
                                            <w:pPr>
                                              <w:pStyle w:val="normal1"/>
                                              <w:spacing w:lineRule="auto" w:line="240" w:before="0" w:after="0"/>
                                              <w:ind w:firstLine="300" w:start="0" w:end="0"/>
                                              <w:jc w:val="both"/>
                                              <w:rPr/>
                                            </w:pPr>
                                            <w:r>
                                              <w:rPr/>
                                            </w:r>
                                          </w:p>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6</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A CLI/AD não encaminha seus Editais e/ou Anexos diretamente ou de forma individualizada aos interessados, que poderão acessá-los nos sítios www.gov.br/compras, https://www.uff.br/licitacoes/ ou https://pncp.gov.br/app/editais?q=&amp;status=recebendo_proposta&amp;pagina=1</w:t>
                                            </w:r>
                                          </w:p>
                                        </w:txbxContent>
                                      </v:textbox>
                                      <w10:wrap type="none"/>
                                    </v:rect>
                                    <v:rect id="shape_0" fillcolor="white" stroked="t" o:allowincell="f" style="position:absolute;left:-292;top:10773;width:10601;height:1539;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7</w:t>
                                            </w:r>
                                          </w:p>
                                          <w:p>
                                            <w:pPr>
                                              <w:pStyle w:val="normal1"/>
                                              <w:spacing w:lineRule="auto" w:line="240" w:before="0" w:after="0"/>
                                              <w:ind w:hanging="0" w:start="0" w:end="0"/>
                                              <w:jc w:val="center"/>
                                              <w:rPr/>
                                            </w:pPr>
                                            <w:r>
                                              <w:rPr>
                                                <w:rFonts w:eastAsia="Verdana" w:cs="Verdana" w:ascii="Verdana" w:hAnsi="Verdana"/>
                                                <w:b w:val="false"/>
                                                <w:i w:val="false"/>
                                                <w:caps w:val="false"/>
                                                <w:smallCaps w:val="false"/>
                                                <w:strike w:val="false"/>
                                                <w:dstrike w:val="false"/>
                                                <w:color w:val="FF0000"/>
                                                <w:position w:val="0"/>
                                                <w:sz w:val="20"/>
                                                <w:vertAlign w:val="baseline"/>
                                              </w:rPr>
                                              <w:t>A CLI/AD desconsiderará todos os e-mails que tratam de atividades sob responsabilidade de outros setores, tais como: envios de notas de empenho, envio de atas de registro de preços, adesões a atas de registro de preços, contratos, envios de notas fiscais, pagamentos. Os contatos para tratar destes assuntos devem ser direcionados exclusivamente para o(s) respectivo(s) setor(es) responsável(eis).</w:t>
                                            </w:r>
                                          </w:p>
                                          <w:p>
                                            <w:pPr>
                                              <w:pStyle w:val="normal1"/>
                                              <w:spacing w:lineRule="auto" w:line="240" w:before="0" w:after="0"/>
                                              <w:ind w:hanging="0" w:start="0" w:end="0"/>
                                              <w:jc w:val="center"/>
                                              <w:rPr/>
                                            </w:pPr>
                                            <w:r>
                                              <w:rPr/>
                                            </w:r>
                                          </w:p>
                                          <w:p>
                                            <w:pPr>
                                              <w:pStyle w:val="normal1"/>
                                              <w:spacing w:lineRule="auto" w:line="240" w:before="0" w:after="0"/>
                                              <w:ind w:firstLine="300" w:start="0" w:end="0"/>
                                              <w:jc w:val="both"/>
                                              <w:rPr/>
                                            </w:pPr>
                                            <w:r>
                                              <w:rPr/>
                                            </w:r>
                                          </w:p>
                                        </w:txbxContent>
                                      </v:textbox>
                                      <w10:wrap type="none"/>
                                    </v:rect>
                                    <v:roundrect id="shape_0" fillcolor="#eeece1" stroked="f" o:allowincell="f" style="position:absolute;left:153;top:493;width:9760;height:878;mso-wrap-style:square;v-text-anchor:middle">
                                      <v:fill o:detectmouseclick="t" type="solid" color2="#11131e"/>
                                      <v:stroke color="#3465a4" joinstyle="round" endcap="flat"/>
                                      <v:textbox>
                                        <w:txbxContent>
                                          <w:p>
                                            <w:pPr>
                                              <w:pStyle w:val="normal1"/>
                                              <w:spacing w:lineRule="auto" w:line="240" w:before="160" w:after="0"/>
                                              <w:ind w:hanging="0" w:start="0" w:end="100"/>
                                              <w:jc w:val="center"/>
                                              <w:rPr/>
                                            </w:pPr>
                                            <w:r>
                                              <w:rPr>
                                                <w:rFonts w:eastAsia="Arial" w:cs="Arial" w:ascii="Arial" w:hAnsi="Arial"/>
                                                <w:b/>
                                                <w:i w:val="false"/>
                                                <w:caps w:val="false"/>
                                                <w:smallCaps w:val="false"/>
                                                <w:strike w:val="false"/>
                                                <w:dstrike w:val="false"/>
                                                <w:color w:val="000000"/>
                                                <w:position w:val="0"/>
                                                <w:sz w:val="20"/>
                                                <w:vertAlign w:val="baseline"/>
                                              </w:rPr>
                                              <w:t>A leitura das orientações abaixo não dispensa a leitura integral do Edital e de seus Anexos, bem como da legislação pertinente.</w:t>
                                            </w:r>
                                          </w:p>
                                          <w:p>
                                            <w:pPr>
                                              <w:pStyle w:val="normal1"/>
                                              <w:spacing w:lineRule="auto" w:line="240" w:before="0" w:after="0"/>
                                              <w:ind w:hanging="0" w:start="0" w:end="0"/>
                                              <w:jc w:val="both"/>
                                              <w:rPr/>
                                            </w:pPr>
                                            <w:r>
                                              <w:rPr/>
                                            </w:r>
                                          </w:p>
                                          <w:p>
                                            <w:pPr>
                                              <w:pStyle w:val="normal1"/>
                                              <w:spacing w:lineRule="auto" w:line="240" w:before="0" w:after="0"/>
                                              <w:ind w:hanging="0" w:start="0" w:end="0"/>
                                              <w:jc w:val="start"/>
                                              <w:rPr/>
                                            </w:pPr>
                                            <w:r>
                                              <w:rPr/>
                                            </w:r>
                                          </w:p>
                                          <w:p>
                                            <w:pPr>
                                              <w:pStyle w:val="normal1"/>
                                              <w:spacing w:lineRule="auto" w:line="240" w:before="0" w:after="0"/>
                                              <w:ind w:hanging="0" w:start="0" w:end="0"/>
                                              <w:jc w:val="start"/>
                                              <w:rPr/>
                                            </w:pPr>
                                            <w:r>
                                              <w:rPr/>
                                            </w:r>
                                          </w:p>
                                        </w:txbxContent>
                                      </v:textbox>
                                      <w10:wrap type="none"/>
                                    </v:roundrect>
                                    <v:rect id="shape_0" fillcolor="white" stroked="t" o:allowincell="f" style="position:absolute;left:-291;top:1542;width:10601;height:1833;mso-wrap-style:square;v-text-anchor:top">
                                      <v:fill o:detectmouseclick="t" type="solid" color2="black"/>
                                      <v:stroke color="#4f81bd" weight="25560" joinstyle="round" endcap="flat"/>
                                      <v:textbox>
                                        <w:txbxContent>
                                          <w:p>
                                            <w:pPr>
                                              <w:pStyle w:val="normal1"/>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Toda e qualquer comunicação com a Coordenação de Licitação (CLI/AD) deverá ser realizada exclusivamente por meio eletrônico, utilizando-se unicamente do e-mail cpl@id.uff.br, sempre mencionando o número do Pregão ou, quando da sessão pública da disputa do certame, por intermédio do sistema eletrônico COMPRASNET, sendo que não serão prestadas informações por contato telefônico ou via outro endereço eletrônico que não o indicado neste Edital.</w:t>
                                            </w:r>
                                          </w:p>
                                          <w:p>
                                            <w:pPr>
                                              <w:pStyle w:val="normal1"/>
                                              <w:spacing w:lineRule="auto" w:line="240" w:before="0" w:after="0"/>
                                              <w:ind w:hanging="0" w:start="0" w:end="0"/>
                                              <w:jc w:val="start"/>
                                              <w:rPr/>
                                            </w:pPr>
                                            <w:r>
                                              <w:rPr/>
                                            </w:r>
                                          </w:p>
                                          <w:p>
                                            <w:pPr>
                                              <w:pStyle w:val="normal1"/>
                                              <w:spacing w:lineRule="auto" w:line="240" w:before="0" w:after="0"/>
                                              <w:ind w:hanging="0" w:start="0" w:end="0"/>
                                              <w:jc w:val="start"/>
                                              <w:rPr/>
                                            </w:pPr>
                                            <w:r>
                                              <w:rPr/>
                                            </w:r>
                                          </w:p>
                                        </w:txbxContent>
                                      </v:textbox>
                                      <w10:wrap type="none"/>
                                    </v:rect>
                                    <v:rect id="shape_0" fillcolor="white" stroked="t" o:allowincell="f" style="position:absolute;left:-291;top:3545;width:10601;height:1335;mso-wrap-style:square;v-text-anchor:top">
                                      <v:fill o:detectmouseclick="t" type="solid" color2="black"/>
                                      <v:stroke color="#4f81bd" weight="25560" joinstyle="round" endcap="flat"/>
                                      <v:textbox>
                                        <w:txbxContent>
                                          <w:p>
                                            <w:pPr>
                                              <w:pStyle w:val="normal1"/>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2</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Todos os pedidos de esclarecimento/impugnações serão respondidos em consonância com os prazos estipulados no Edital, não sendo necessário replicar o mesmo requerimento, ou ainda, proceder com contatos a fim de obter o prazo de resposta dos mesmos, restando aguardar.</w:t>
                                            </w:r>
                                          </w:p>
                                        </w:txbxContent>
                                      </v:textbox>
                                      <w10:wrap type="none"/>
                                    </v:rect>
                                    <v:rect id="shape_0" fillcolor="white" stroked="t" o:allowincell="f" style="position:absolute;left:-291;top:5101;width:10601;height:1322;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 xml:space="preserve">3 </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 xml:space="preserve">Informações referentes a eventuais alterações e/ou republicações de avisos de licitação serão divulgadas exclusivamente por meio dos recursos oficiais de publicação, quais sejam: DOU, COMPRASNET, portal da Licitações UFF e PNCP. </w:t>
                                            </w:r>
                                          </w:p>
                                          <w:p>
                                            <w:pPr>
                                              <w:pStyle w:val="normal1"/>
                                              <w:spacing w:lineRule="auto" w:line="240" w:before="0" w:after="0"/>
                                              <w:ind w:hanging="0" w:start="0" w:end="0"/>
                                              <w:jc w:val="center"/>
                                              <w:rPr/>
                                            </w:pPr>
                                            <w:r>
                                              <w:rPr/>
                                            </w:r>
                                          </w:p>
                                        </w:txbxContent>
                                      </v:textbox>
                                      <w10:wrap type="none"/>
                                    </v:rect>
                                    <v:rect id="shape_0" fillcolor="white" stroked="t" o:allowincell="f" style="position:absolute;left:-291;top:6561;width:10601;height:1060;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 xml:space="preserve">4 </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Não responderemos e-mails questionando sobre previsões de datas para republicações, bem como, não prestaremos informações por contato telefônico.</w:t>
                                            </w:r>
                                          </w:p>
                                        </w:txbxContent>
                                      </v:textbox>
                                      <w10:wrap type="none"/>
                                    </v:rect>
                                  </v:group>
                                </v:group>
                              </v:group>
                            </v:group>
                          </v:group>
                        </v:group>
                      </v:group>
                    </v:group>
                  </v:group>
                </v:group>
              </v:group>
            </w:pict>
          </mc:Fallback>
        </mc:AlternateContent>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mc:AlternateContent>
          <mc:Choice Requires="wpg">
            <w:drawing>
              <wp:anchor distT="0" distB="0" distL="0" distR="0" simplePos="0" relativeHeight="64" behindDoc="0" locked="0" layoutInCell="1" allowOverlap="1">
                <wp:simplePos x="0" y="0"/>
                <wp:positionH relativeFrom="column">
                  <wp:posOffset>-99695</wp:posOffset>
                </wp:positionH>
                <wp:positionV relativeFrom="paragraph">
                  <wp:posOffset>50800</wp:posOffset>
                </wp:positionV>
                <wp:extent cx="6767195" cy="5170170"/>
                <wp:effectExtent l="0" t="0" r="0" b="0"/>
                <wp:wrapNone/>
                <wp:docPr id="38" name="Forma3"/>
                <a:graphic xmlns:a="http://schemas.openxmlformats.org/drawingml/2006/main">
                  <a:graphicData uri="http://schemas.microsoft.com/office/word/2010/wordprocessingGroup">
                    <wpg:wgp>
                      <wpg:cNvGrpSpPr/>
                      <wpg:grpSpPr>
                        <a:xfrm>
                          <a:off x="0" y="0"/>
                          <a:ext cx="6767280" cy="5170320"/>
                          <a:chOff x="0" y="0"/>
                          <a:chExt cx="6767280" cy="5170320"/>
                        </a:xfrm>
                      </wpg:grpSpPr>
                      <wpg:grpSp>
                        <wpg:cNvGrpSpPr/>
                        <wpg:grpSpPr>
                          <a:xfrm>
                            <a:off x="0" y="0"/>
                            <a:ext cx="6767280" cy="5170320"/>
                          </a:xfrm>
                        </wpg:grpSpPr>
                        <wps:wsp>
                          <wps:cNvPr id="39" name="Shape 4"/>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0" name="Shape 6"/>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1" name="Shape 8"/>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2" name="Shape 10"/>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3" name="Shape 12"/>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4" name="Shape 14"/>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5" name="Shape 16"/>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6" name="Shape 18"/>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7" name="Shape 20"/>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0" y="0"/>
                                              <a:ext cx="6767280" cy="5170320"/>
                                            </a:xfrm>
                                          </wpg:grpSpPr>
                                          <wps:wsp>
                                            <wps:cNvPr id="48" name="Shape 22"/>
                                            <wps:cNvSpPr/>
                                            <wps:spPr>
                                              <a:xfrm>
                                                <a:off x="0" y="0"/>
                                                <a:ext cx="6767280" cy="51703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g:grpSp>
                                            <wpg:cNvGrpSpPr/>
                                            <wpg:grpSpPr>
                                              <a:xfrm>
                                                <a:off x="12600" y="12600"/>
                                                <a:ext cx="6741720" cy="5137920"/>
                                              </a:xfrm>
                                            </wpg:grpSpPr>
                                            <wps:wsp>
                                              <wps:cNvPr id="49" name="Shape 24"/>
                                              <wps:cNvSpPr/>
                                              <wps:spPr>
                                                <a:xfrm>
                                                  <a:off x="0" y="0"/>
                                                  <a:ext cx="6737400" cy="5137920"/>
                                                </a:xfrm>
                                                <a:prstGeom prst="rect">
                                                  <a:avLst/>
                                                </a:prstGeom>
                                                <a:noFill/>
                                                <a:ln w="0">
                                                  <a:noFill/>
                                                </a:ln>
                                              </wps:spPr>
                                              <wps:style>
                                                <a:lnRef idx="0"/>
                                                <a:fillRef idx="0"/>
                                                <a:effectRef idx="0"/>
                                                <a:fontRef idx="minor"/>
                                              </wps:style>
                                              <wps:txbx>
                                                <w:txbxContent>
                                                  <w:p>
                                                    <w:pPr>
                                                      <w:pStyle w:val="normal1"/>
                                                      <w:spacing w:lineRule="auto" w:line="240" w:before="0" w:after="0"/>
                                                      <w:ind w:hanging="0" w:start="0" w:end="0"/>
                                                      <w:jc w:val="start"/>
                                                      <w:rPr/>
                                                    </w:pPr>
                                                    <w:r>
                                                      <w:rPr/>
                                                    </w:r>
                                                  </w:p>
                                                </w:txbxContent>
                                              </wps:txbx>
                                              <wps:bodyPr lIns="0" tIns="0" rIns="0" bIns="0" anchor="ctr">
                                                <a:noAutofit/>
                                              </wps:bodyPr>
                                            </wps:wsp>
                                            <wps:wsp>
                                              <wps:cNvPr id="50" name="Shape 25"/>
                                              <wps:cNvSpPr/>
                                              <wps:spPr>
                                                <a:xfrm>
                                                  <a:off x="0" y="793080"/>
                                                  <a:ext cx="6733080" cy="95508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9</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Todo interessado em participar de nossos certames detém a responsabilidade integral em obter informações a respeito das funcionalidades do sistema, uma vez que não temos acesso às funções destinadas aos fornecedores, assim, não iremos esclarecer dúvidas quanto à operacionalização do sistema.</w:t>
                                                    </w:r>
                                                  </w:p>
                                                  <w:p>
                                                    <w:pPr>
                                                      <w:pStyle w:val="normal1"/>
                                                      <w:spacing w:lineRule="auto" w:line="240" w:before="0" w:after="0"/>
                                                      <w:ind w:firstLine="300" w:start="0" w:end="0"/>
                                                      <w:jc w:val="both"/>
                                                      <w:rPr/>
                                                    </w:pPr>
                                                    <w:r>
                                                      <w:rPr/>
                                                    </w:r>
                                                  </w:p>
                                                </w:txbxContent>
                                              </wps:txbx>
                                              <wps:bodyPr lIns="0" tIns="0" rIns="0" bIns="0" anchor="t">
                                                <a:noAutofit/>
                                              </wps:bodyPr>
                                            </wps:wsp>
                                            <wps:wsp>
                                              <wps:cNvPr id="51" name="Shape 26"/>
                                              <wps:cNvSpPr/>
                                              <wps:spPr>
                                                <a:xfrm>
                                                  <a:off x="0" y="1842840"/>
                                                  <a:ext cx="6733080" cy="93672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10</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A participação no presente Pregão implica a aceitação integral e irretratável de todas as condições estabelecidas neste Edital e nos Anexos que dele fazem parte, bem como a observância dos preceitos legais e regulamentares em vigor, não cabendo quaisquer alegações posteriores de desconhecimento sobre as regras da disputa licitatória</w:t>
                                                    </w:r>
                                                    <w:r>
                                                      <w:rPr>
                                                        <w:rFonts w:eastAsia="Verdana" w:cs="Verdana" w:ascii="Verdana" w:hAnsi="Verdana"/>
                                                        <w:b w:val="false"/>
                                                        <w:i w:val="false"/>
                                                        <w:caps w:val="false"/>
                                                        <w:smallCaps w:val="false"/>
                                                        <w:strike w:val="false"/>
                                                        <w:dstrike w:val="false"/>
                                                        <w:color w:val="000000"/>
                                                        <w:position w:val="0"/>
                                                        <w:sz w:val="20"/>
                                                        <w:vertAlign w:val="baseline"/>
                                                      </w:rPr>
                                                      <w:t>.</w:t>
                                                    </w:r>
                                                  </w:p>
                                                  <w:p>
                                                    <w:pPr>
                                                      <w:pStyle w:val="normal1"/>
                                                      <w:spacing w:lineRule="auto" w:line="240" w:before="0" w:after="0"/>
                                                      <w:ind w:firstLine="300" w:start="0" w:end="0"/>
                                                      <w:jc w:val="both"/>
                                                      <w:rPr/>
                                                    </w:pPr>
                                                    <w:r>
                                                      <w:rPr/>
                                                    </w:r>
                                                  </w:p>
                                                </w:txbxContent>
                                              </wps:txbx>
                                              <wps:bodyPr lIns="0" tIns="0" rIns="0" bIns="0" anchor="t">
                                                <a:noAutofit/>
                                              </wps:bodyPr>
                                            </wps:wsp>
                                            <wps:wsp>
                                              <wps:cNvPr id="52" name="Shape 27"/>
                                              <wps:cNvSpPr/>
                                              <wps:spPr>
                                                <a:xfrm>
                                                  <a:off x="0" y="2868480"/>
                                                  <a:ext cx="6733080" cy="107712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 xml:space="preserve">11 </w:t>
                                                    </w:r>
                                                    <w:r>
                                                      <w:rPr>
                                                        <w:rFonts w:eastAsia="Verdana" w:cs="Verdana" w:ascii="Verdana" w:hAnsi="Verdana"/>
                                                        <w:b w:val="false"/>
                                                        <w:i w:val="false"/>
                                                        <w:caps w:val="false"/>
                                                        <w:smallCaps w:val="false"/>
                                                        <w:strike w:val="false"/>
                                                        <w:dstrike w:val="false"/>
                                                        <w:color w:val="FF0000"/>
                                                        <w:position w:val="0"/>
                                                        <w:sz w:val="22"/>
                                                        <w:vertAlign w:val="baseline"/>
                                                      </w:rPr>
                                                      <w:t>Conforme Acórdãos do TCU 1.211/2021, 2.673/2021,  2.443/2021, 966/2022, 602/2025 e 781/2025 ambos do Plenário, a vedação à inclusão de novo documento, prevista no Art. 64 da Lei 14.133/2021 não alcança documento ausente, comprobatório de condição atendida pelo licitante quando apresentou sua proposta, que não foi juntado com os demais comprovantes de habilitação e da proposta. por equívoco ou falha, o qual deverá ser solicitado e avaliado pelo pregoeiro.</w:t>
                                                    </w:r>
                                                  </w:p>
                                                  <w:p>
                                                    <w:pPr>
                                                      <w:pStyle w:val="normal1"/>
                                                      <w:spacing w:lineRule="auto" w:line="240" w:before="0" w:after="0"/>
                                                      <w:ind w:hanging="0" w:start="0" w:end="0"/>
                                                      <w:jc w:val="both"/>
                                                      <w:rPr/>
                                                    </w:pPr>
                                                    <w:r>
                                                      <w:rPr/>
                                                    </w:r>
                                                  </w:p>
                                                  <w:p>
                                                    <w:pPr>
                                                      <w:pStyle w:val="normal1"/>
                                                      <w:spacing w:lineRule="auto" w:line="240" w:before="0" w:after="0"/>
                                                      <w:ind w:hanging="0" w:start="0" w:end="0"/>
                                                      <w:jc w:val="both"/>
                                                      <w:rPr/>
                                                    </w:pPr>
                                                    <w:r>
                                                      <w:rPr/>
                                                    </w:r>
                                                  </w:p>
                                                  <w:p>
                                                    <w:pPr>
                                                      <w:pStyle w:val="normal1"/>
                                                      <w:spacing w:lineRule="auto" w:line="240" w:before="0" w:after="0"/>
                                                      <w:ind w:hanging="0" w:start="0" w:end="0"/>
                                                      <w:jc w:val="both"/>
                                                      <w:rPr/>
                                                    </w:pPr>
                                                    <w:r>
                                                      <w:rPr/>
                                                    </w:r>
                                                  </w:p>
                                                </w:txbxContent>
                                              </wps:txbx>
                                              <wps:bodyPr lIns="0" tIns="0" rIns="0" bIns="0" anchor="t">
                                                <a:noAutofit/>
                                              </wps:bodyPr>
                                            </wps:wsp>
                                            <wps:wsp>
                                              <wps:cNvPr id="53" name="Shape 28"/>
                                              <wps:cNvSpPr/>
                                              <wps:spPr>
                                                <a:xfrm>
                                                  <a:off x="9000" y="0"/>
                                                  <a:ext cx="6733080" cy="671040"/>
                                                </a:xfrm>
                                                <a:prstGeom prst="rect">
                                                  <a:avLst/>
                                                </a:prstGeom>
                                                <a:solidFill>
                                                  <a:schemeClr val="lt1"/>
                                                </a:solidFill>
                                                <a:ln w="25400">
                                                  <a:solidFill>
                                                    <a:srgbClr val="4F81BD"/>
                                                  </a:solidFill>
                                                  <a:round/>
                                                </a:ln>
                                              </wps:spPr>
                                              <wps:style>
                                                <a:lnRef idx="0"/>
                                                <a:fillRef idx="0"/>
                                                <a:effectRef idx="0"/>
                                                <a:fontRef idx="minor"/>
                                              </wps:style>
                                              <wps:txb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8</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 xml:space="preserve">Dúvidas acerca de acessos e funcionalidades do sistema eletrônico Gov.br deverão ser dirimidas diretamente com o provedor do portal. </w:t>
                                                    </w:r>
                                                  </w:p>
                                                  <w:p>
                                                    <w:pPr>
                                                      <w:pStyle w:val="normal1"/>
                                                      <w:spacing w:lineRule="auto" w:line="240" w:before="0" w:after="0"/>
                                                      <w:ind w:firstLine="300" w:start="0" w:end="0"/>
                                                      <w:jc w:val="both"/>
                                                      <w:rPr/>
                                                    </w:pPr>
                                                    <w:r>
                                                      <w:rPr/>
                                                    </w:r>
                                                  </w:p>
                                                </w:txbxContent>
                                              </wps:txbx>
                                              <wps:bodyPr lIns="0" tIns="0" rIns="0" bIns="0" anchor="t">
                                                <a:noAutofit/>
                                              </wps:bodyPr>
                                            </wps:wsp>
                                          </wpg:grpSp>
                                        </wpg:grpSp>
                                      </wpg:grpSp>
                                    </wpg:grpSp>
                                  </wpg:grpSp>
                                </wpg:grpSp>
                              </wpg:grpSp>
                            </wpg:grpSp>
                          </wpg:grpSp>
                        </wpg:grpSp>
                      </wpg:grpSp>
                    </wpg:wgp>
                  </a:graphicData>
                </a:graphic>
              </wp:anchor>
            </w:drawing>
          </mc:Choice>
          <mc:Fallback>
            <w:pict>
              <v:group id="shape_0" alt="Forma3" style="position:absolute;margin-left:-7.85pt;margin-top:4pt;width:532.85pt;height:407.1pt" coordorigin="-157,80" coordsize="10657,8142">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57;top:80;width:10657;height:8142">
                                    <v:rect id="shape_0" stroked="f" o:allowincell="f" style="position:absolute;left:-157;top:80;width:10656;height:8141;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group id="shape_0" style="position:absolute;left:-137;top:100;width:10617;height:8091">
                                      <v:rect id="shape_0" stroked="f" o:allowincell="f" style="position:absolute;left:-137;top:100;width:10609;height:8090;mso-wrap-style:none;v-text-anchor:middle">
                                        <v:fill o:detectmouseclick="t" on="false"/>
                                        <v:stroke color="#3465a4" joinstyle="round" endcap="flat"/>
                                        <v:textbox>
                                          <w:txbxContent>
                                            <w:p>
                                              <w:pPr>
                                                <w:pStyle w:val="normal1"/>
                                                <w:spacing w:lineRule="auto" w:line="240" w:before="0" w:after="0"/>
                                                <w:ind w:hanging="0" w:start="0" w:end="0"/>
                                                <w:jc w:val="start"/>
                                                <w:rPr/>
                                              </w:pPr>
                                              <w:r>
                                                <w:rPr/>
                                              </w:r>
                                            </w:p>
                                          </w:txbxContent>
                                        </v:textbox>
                                        <w10:wrap type="none"/>
                                      </v:rect>
                                      <v:rect id="shape_0" fillcolor="white" stroked="t" o:allowincell="f" style="position:absolute;left:-137;top:1349;width:10602;height:1503;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9</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Todo interessado em participar de nossos certames detém a responsabilidade integral em obter informações a respeito das funcionalidades do sistema, uma vez que não temos acesso às funções destinadas aos fornecedores, assim, não iremos esclarecer dúvidas quanto à operacionalização do sistema.</w:t>
                                              </w:r>
                                            </w:p>
                                            <w:p>
                                              <w:pPr>
                                                <w:pStyle w:val="normal1"/>
                                                <w:spacing w:lineRule="auto" w:line="240" w:before="0" w:after="0"/>
                                                <w:ind w:firstLine="300" w:start="0" w:end="0"/>
                                                <w:jc w:val="both"/>
                                                <w:rPr/>
                                              </w:pPr>
                                              <w:r>
                                                <w:rPr/>
                                              </w:r>
                                            </w:p>
                                          </w:txbxContent>
                                        </v:textbox>
                                        <w10:wrap type="none"/>
                                      </v:rect>
                                      <v:rect id="shape_0" fillcolor="white" stroked="t" o:allowincell="f" style="position:absolute;left:-137;top:3002;width:10602;height:1474;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10</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A participação no presente Pregão implica a aceitação integral e irretratável de todas as condições estabelecidas neste Edital e nos Anexos que dele fazem parte, bem como a observância dos preceitos legais e regulamentares em vigor, não cabendo quaisquer alegações posteriores de desconhecimento sobre as regras da disputa licitatória</w:t>
                                              </w:r>
                                              <w:r>
                                                <w:rPr>
                                                  <w:rFonts w:eastAsia="Verdana" w:cs="Verdana" w:ascii="Verdana" w:hAnsi="Verdana"/>
                                                  <w:b w:val="false"/>
                                                  <w:i w:val="false"/>
                                                  <w:caps w:val="false"/>
                                                  <w:smallCaps w:val="false"/>
                                                  <w:strike w:val="false"/>
                                                  <w:dstrike w:val="false"/>
                                                  <w:color w:val="000000"/>
                                                  <w:position w:val="0"/>
                                                  <w:sz w:val="20"/>
                                                  <w:vertAlign w:val="baseline"/>
                                                </w:rPr>
                                                <w:t>.</w:t>
                                              </w:r>
                                            </w:p>
                                            <w:p>
                                              <w:pPr>
                                                <w:pStyle w:val="normal1"/>
                                                <w:spacing w:lineRule="auto" w:line="240" w:before="0" w:after="0"/>
                                                <w:ind w:firstLine="300" w:start="0" w:end="0"/>
                                                <w:jc w:val="both"/>
                                                <w:rPr/>
                                              </w:pPr>
                                              <w:r>
                                                <w:rPr/>
                                              </w:r>
                                            </w:p>
                                          </w:txbxContent>
                                        </v:textbox>
                                        <w10:wrap type="none"/>
                                      </v:rect>
                                      <v:rect id="shape_0" fillcolor="white" stroked="t" o:allowincell="f" style="position:absolute;left:-137;top:4617;width:10602;height:1695;mso-wrap-style:square;v-text-anchor:top">
                                        <v:fill o:detectmouseclick="t" type="solid" color2="black"/>
                                        <v:stroke color="#4f81bd" weight="25560" joinstyle="round" endcap="flat"/>
                                        <v:textbox>
                                          <w:txbxContent>
                                            <w:p>
                                              <w:pPr>
                                                <w:pStyle w:val="normal1"/>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 xml:space="preserve">11 </w:t>
                                              </w:r>
                                              <w:r>
                                                <w:rPr>
                                                  <w:rFonts w:eastAsia="Verdana" w:cs="Verdana" w:ascii="Verdana" w:hAnsi="Verdana"/>
                                                  <w:b w:val="false"/>
                                                  <w:i w:val="false"/>
                                                  <w:caps w:val="false"/>
                                                  <w:smallCaps w:val="false"/>
                                                  <w:strike w:val="false"/>
                                                  <w:dstrike w:val="false"/>
                                                  <w:color w:val="FF0000"/>
                                                  <w:position w:val="0"/>
                                                  <w:sz w:val="22"/>
                                                  <w:vertAlign w:val="baseline"/>
                                                </w:rPr>
                                                <w:t>Conforme Acórdãos do TCU 1.211/2021, 2.673/2021,  2.443/2021, 966/2022, 602/2025 e 781/2025 ambos do Plenário, a vedação à inclusão de novo documento, prevista no Art. 64 da Lei 14.133/2021 não alcança documento ausente, comprobatório de condição atendida pelo licitante quando apresentou sua proposta, que não foi juntado com os demais comprovantes de habilitação e da proposta. por equívoco ou falha, o qual deverá ser solicitado e avaliado pelo pregoeiro.</w:t>
                                              </w:r>
                                            </w:p>
                                            <w:p>
                                              <w:pPr>
                                                <w:pStyle w:val="normal1"/>
                                                <w:spacing w:lineRule="auto" w:line="240" w:before="0" w:after="0"/>
                                                <w:ind w:hanging="0" w:start="0" w:end="0"/>
                                                <w:jc w:val="both"/>
                                                <w:rPr/>
                                              </w:pPr>
                                              <w:r>
                                                <w:rPr/>
                                              </w:r>
                                            </w:p>
                                            <w:p>
                                              <w:pPr>
                                                <w:pStyle w:val="normal1"/>
                                                <w:spacing w:lineRule="auto" w:line="240" w:before="0" w:after="0"/>
                                                <w:ind w:hanging="0" w:start="0" w:end="0"/>
                                                <w:jc w:val="both"/>
                                                <w:rPr/>
                                              </w:pPr>
                                              <w:r>
                                                <w:rPr/>
                                              </w:r>
                                            </w:p>
                                            <w:p>
                                              <w:pPr>
                                                <w:pStyle w:val="normal1"/>
                                                <w:spacing w:lineRule="auto" w:line="240" w:before="0" w:after="0"/>
                                                <w:ind w:hanging="0" w:start="0" w:end="0"/>
                                                <w:jc w:val="both"/>
                                                <w:rPr/>
                                              </w:pPr>
                                              <w:r>
                                                <w:rPr/>
                                              </w:r>
                                            </w:p>
                                          </w:txbxContent>
                                        </v:textbox>
                                        <w10:wrap type="none"/>
                                      </v:rect>
                                      <v:rect id="shape_0" fillcolor="white" stroked="t" o:allowincell="f" style="position:absolute;left:-123;top:100;width:10602;height:1056;mso-wrap-style:square;v-text-anchor:top">
                                        <v:fill o:detectmouseclick="t" type="solid" color2="black"/>
                                        <v:stroke color="#4f81bd" weight="25560" joinstyle="round" endcap="flat"/>
                                        <v:textbox>
                                          <w:txbxContent>
                                            <w:p>
                                              <w:pPr>
                                                <w:pStyle w:val="normal1"/>
                                                <w:spacing w:lineRule="auto" w:line="240" w:before="0" w:after="0"/>
                                                <w:ind w:hanging="0" w:start="0" w:end="0"/>
                                                <w:jc w:val="start"/>
                                                <w:rPr/>
                                              </w:pPr>
                                              <w:r>
                                                <w:rPr>
                                                  <w:rFonts w:eastAsia="Verdana" w:cs="Verdana" w:ascii="Verdana" w:hAnsi="Verdana"/>
                                                  <w:b/>
                                                  <w:i w:val="false"/>
                                                  <w:caps w:val="false"/>
                                                  <w:smallCaps w:val="false"/>
                                                  <w:strike w:val="false"/>
                                                  <w:dstrike w:val="false"/>
                                                  <w:color w:val="4F81BD"/>
                                                  <w:position w:val="0"/>
                                                  <w:sz w:val="20"/>
                                                  <w:vertAlign w:val="baseline"/>
                                                </w:rPr>
                                                <w:t>8</w:t>
                                              </w:r>
                                            </w:p>
                                            <w:p>
                                              <w:pPr>
                                                <w:pStyle w:val="normal1"/>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 xml:space="preserve">Dúvidas acerca de acessos e funcionalidades do sistema eletrônico Gov.br deverão ser dirimidas diretamente com o provedor do portal. </w:t>
                                              </w:r>
                                            </w:p>
                                            <w:p>
                                              <w:pPr>
                                                <w:pStyle w:val="normal1"/>
                                                <w:spacing w:lineRule="auto" w:line="240" w:before="0" w:after="0"/>
                                                <w:ind w:firstLine="300" w:start="0" w:end="0"/>
                                                <w:jc w:val="both"/>
                                                <w:rPr/>
                                              </w:pPr>
                                              <w:r>
                                                <w:rPr/>
                                              </w:r>
                                            </w:p>
                                          </w:txbxContent>
                                        </v:textbox>
                                        <w10:wrap type="none"/>
                                      </v:rect>
                                    </v:group>
                                  </v:group>
                                </v:group>
                              </v:group>
                            </v:group>
                          </v:group>
                        </v:group>
                      </v:group>
                    </v:group>
                  </v:group>
                </v:group>
              </v:group>
            </w:pict>
          </mc:Fallback>
        </mc:AlternateContent>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mc:AlternateContent>
          <mc:Choice Requires="wps">
            <w:drawing>
              <wp:anchor distT="12700" distB="12700" distL="12700" distR="12700" simplePos="0" relativeHeight="80" behindDoc="0" locked="0" layoutInCell="1" allowOverlap="1">
                <wp:simplePos x="0" y="0"/>
                <wp:positionH relativeFrom="column">
                  <wp:posOffset>-188595</wp:posOffset>
                </wp:positionH>
                <wp:positionV relativeFrom="paragraph">
                  <wp:posOffset>88900</wp:posOffset>
                </wp:positionV>
                <wp:extent cx="6990080" cy="1010920"/>
                <wp:effectExtent l="12700" t="12700" r="12700" b="12700"/>
                <wp:wrapNone/>
                <wp:docPr id="54" name="Shape 2"/>
                <a:graphic xmlns:a="http://schemas.openxmlformats.org/drawingml/2006/main">
                  <a:graphicData uri="http://schemas.microsoft.com/office/word/2010/wordprocessingShape">
                    <wps:wsp>
                      <wps:cNvSpPr/>
                      <wps:spPr>
                        <a:xfrm>
                          <a:off x="0" y="0"/>
                          <a:ext cx="6990120" cy="1010880"/>
                        </a:xfrm>
                        <a:prstGeom prst="rect">
                          <a:avLst/>
                        </a:prstGeom>
                        <a:solidFill>
                          <a:schemeClr val="lt1"/>
                        </a:solidFill>
                        <a:ln w="25400">
                          <a:solidFill>
                            <a:srgbClr val="4F81BD"/>
                          </a:solidFill>
                          <a:round/>
                        </a:ln>
                      </wps:spPr>
                      <wps:style>
                        <a:lnRef idx="0"/>
                        <a:fillRef idx="0"/>
                        <a:effectRef idx="0"/>
                        <a:fontRef idx="minor"/>
                      </wps:style>
                      <wps:txb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12</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000000"/>
                                <w:position w:val="0"/>
                                <w:sz w:val="20"/>
                                <w:vertAlign w:val="baseline"/>
                              </w:rPr>
                              <w:t xml:space="preserve">    </w:t>
                            </w:r>
                            <w:r>
                              <w:rPr>
                                <w:rFonts w:eastAsia="Verdana" w:cs="Verdana" w:ascii="Verdana" w:hAnsi="Verdana"/>
                                <w:b/>
                                <w:i w:val="false"/>
                                <w:caps w:val="false"/>
                                <w:smallCaps w:val="false"/>
                                <w:strike w:val="false"/>
                                <w:dstrike w:val="false"/>
                                <w:color w:val="FF0000"/>
                                <w:position w:val="0"/>
                                <w:sz w:val="20"/>
                                <w:u w:val="single"/>
                                <w:vertAlign w:val="baseline"/>
                              </w:rPr>
                              <w:t>ATENÇÃO</w:t>
                            </w:r>
                            <w:r>
                              <w:rPr>
                                <w:rFonts w:eastAsia="Verdana" w:cs="Verdana" w:ascii="Verdana" w:hAnsi="Verdana"/>
                                <w:b w:val="false"/>
                                <w:i w:val="false"/>
                                <w:caps w:val="false"/>
                                <w:smallCaps w:val="false"/>
                                <w:strike w:val="false"/>
                                <w:dstrike w:val="false"/>
                                <w:color w:val="FF0000"/>
                                <w:position w:val="0"/>
                                <w:sz w:val="20"/>
                                <w:vertAlign w:val="baseline"/>
                              </w:rPr>
                              <w:t>: Os licitantes deverão registrar uma única marca corresponde ao produto ofertado para que não haja prejuízos à isonomia do certame, sendo passível de recusa da proposta.</w:t>
                            </w:r>
                          </w:p>
                          <w:p>
                            <w:pPr>
                              <w:pStyle w:val="Contedodoquadrouser"/>
                              <w:spacing w:lineRule="auto" w:line="240" w:before="0" w:after="0"/>
                              <w:ind w:hanging="0" w:start="0" w:end="0"/>
                              <w:jc w:val="both"/>
                              <w:rPr>
                                <w:color w:val="000000"/>
                              </w:rPr>
                            </w:pPr>
                            <w:r>
                              <w:rPr>
                                <w:color w:val="000000"/>
                              </w:rPr>
                            </w:r>
                          </w:p>
                          <w:p>
                            <w:pPr>
                              <w:pStyle w:val="Contedodoquadrouser"/>
                              <w:spacing w:lineRule="auto" w:line="240" w:before="0" w:after="0"/>
                              <w:ind w:hanging="0" w:start="0" w:end="0"/>
                              <w:jc w:val="both"/>
                              <w:rPr>
                                <w:color w:val="000000"/>
                              </w:rPr>
                            </w:pPr>
                            <w:r>
                              <w:rPr>
                                <w:color w:val="000000"/>
                              </w:rPr>
                            </w:r>
                          </w:p>
                        </w:txbxContent>
                      </wps:txbx>
                      <wps:bodyPr anchor="t">
                        <a:noAutofit/>
                      </wps:bodyPr>
                    </wps:wsp>
                  </a:graphicData>
                </a:graphic>
              </wp:anchor>
            </w:drawing>
          </mc:Choice>
          <mc:Fallback>
            <w:pict>
              <v:rect id="shape_0" fillcolor="white" stroked="t" o:allowincell="f" style="position:absolute;margin-left:-14.85pt;margin-top:7pt;width:550.35pt;height:79.55pt;mso-wrap-style:square;v-text-anchor:top">
                <v:fill o:detectmouseclick="t" type="solid" color2="black"/>
                <v:stroke color="#4f81bd" weight="25560" joinstyle="round" endcap="flat"/>
                <v:textbo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12</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000000"/>
                          <w:position w:val="0"/>
                          <w:sz w:val="20"/>
                          <w:vertAlign w:val="baseline"/>
                        </w:rPr>
                        <w:t xml:space="preserve">    </w:t>
                      </w:r>
                      <w:r>
                        <w:rPr>
                          <w:rFonts w:eastAsia="Verdana" w:cs="Verdana" w:ascii="Verdana" w:hAnsi="Verdana"/>
                          <w:b/>
                          <w:i w:val="false"/>
                          <w:caps w:val="false"/>
                          <w:smallCaps w:val="false"/>
                          <w:strike w:val="false"/>
                          <w:dstrike w:val="false"/>
                          <w:color w:val="FF0000"/>
                          <w:position w:val="0"/>
                          <w:sz w:val="20"/>
                          <w:u w:val="single"/>
                          <w:vertAlign w:val="baseline"/>
                        </w:rPr>
                        <w:t>ATENÇÃO</w:t>
                      </w:r>
                      <w:r>
                        <w:rPr>
                          <w:rFonts w:eastAsia="Verdana" w:cs="Verdana" w:ascii="Verdana" w:hAnsi="Verdana"/>
                          <w:b w:val="false"/>
                          <w:i w:val="false"/>
                          <w:caps w:val="false"/>
                          <w:smallCaps w:val="false"/>
                          <w:strike w:val="false"/>
                          <w:dstrike w:val="false"/>
                          <w:color w:val="FF0000"/>
                          <w:position w:val="0"/>
                          <w:sz w:val="20"/>
                          <w:vertAlign w:val="baseline"/>
                        </w:rPr>
                        <w:t>: Os licitantes deverão registrar uma única marca corresponde ao produto ofertado para que não haja prejuízos à isonomia do certame, sendo passível de recusa da proposta.</w:t>
                      </w:r>
                    </w:p>
                    <w:p>
                      <w:pPr>
                        <w:pStyle w:val="Contedodoquadrouser"/>
                        <w:spacing w:lineRule="auto" w:line="240" w:before="0" w:after="0"/>
                        <w:ind w:hanging="0" w:start="0" w:end="0"/>
                        <w:jc w:val="both"/>
                        <w:rPr>
                          <w:color w:val="000000"/>
                        </w:rPr>
                      </w:pPr>
                      <w:r>
                        <w:rPr>
                          <w:color w:val="000000"/>
                        </w:rPr>
                      </w:r>
                    </w:p>
                    <w:p>
                      <w:pPr>
                        <w:pStyle w:val="Contedodoquadrouser"/>
                        <w:spacing w:lineRule="auto" w:line="240" w:before="0" w:after="0"/>
                        <w:ind w:hanging="0" w:start="0" w:end="0"/>
                        <w:jc w:val="both"/>
                        <w:rPr>
                          <w:color w:val="000000"/>
                        </w:rPr>
                      </w:pPr>
                      <w:r>
                        <w:rPr>
                          <w:color w:val="000000"/>
                        </w:rPr>
                      </w:r>
                    </w:p>
                  </w:txbxContent>
                </v:textbox>
                <w10:wrap type="none"/>
              </v:rect>
            </w:pict>
          </mc:Fallback>
        </mc:AlternateContent>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mc:AlternateContent>
          <mc:Choice Requires="wps">
            <w:drawing>
              <wp:anchor distT="13335" distB="12065" distL="12700" distR="12700" simplePos="0" relativeHeight="82" behindDoc="0" locked="0" layoutInCell="1" allowOverlap="1">
                <wp:simplePos x="0" y="0"/>
                <wp:positionH relativeFrom="column">
                  <wp:posOffset>-188595</wp:posOffset>
                </wp:positionH>
                <wp:positionV relativeFrom="paragraph">
                  <wp:posOffset>-36830</wp:posOffset>
                </wp:positionV>
                <wp:extent cx="6990080" cy="876935"/>
                <wp:effectExtent l="12700" t="13335" r="12700" b="12065"/>
                <wp:wrapNone/>
                <wp:docPr id="55" name="Shape 83"/>
                <a:graphic xmlns:a="http://schemas.openxmlformats.org/drawingml/2006/main">
                  <a:graphicData uri="http://schemas.microsoft.com/office/word/2010/wordprocessingShape">
                    <wps:wsp>
                      <wps:cNvSpPr/>
                      <wps:spPr>
                        <a:xfrm>
                          <a:off x="0" y="0"/>
                          <a:ext cx="6990120" cy="876960"/>
                        </a:xfrm>
                        <a:prstGeom prst="rect">
                          <a:avLst/>
                        </a:prstGeom>
                        <a:solidFill>
                          <a:schemeClr val="lt1"/>
                        </a:solidFill>
                        <a:ln w="25400">
                          <a:solidFill>
                            <a:srgbClr val="4F81BD"/>
                          </a:solidFill>
                          <a:round/>
                        </a:ln>
                      </wps:spPr>
                      <wps:style>
                        <a:lnRef idx="0"/>
                        <a:fillRef idx="0"/>
                        <a:effectRef idx="0"/>
                        <a:fontRef idx="minor"/>
                      </wps:style>
                      <wps:txb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13</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 xml:space="preserve">    </w:t>
                            </w:r>
                            <w:r>
                              <w:rPr>
                                <w:rFonts w:eastAsia="Verdana" w:cs="Verdana" w:ascii="Verdana" w:hAnsi="Verdana"/>
                                <w:b w:val="false"/>
                                <w:i w:val="false"/>
                                <w:caps w:val="false"/>
                                <w:smallCaps w:val="false"/>
                                <w:strike w:val="false"/>
                                <w:dstrike w:val="false"/>
                                <w:color w:val="FF0000"/>
                                <w:position w:val="0"/>
                                <w:sz w:val="20"/>
                                <w:vertAlign w:val="baseline"/>
                              </w:rPr>
                              <w:t>Os licitantes são responsáveis por cadastrar suas informações no sistema e não poderão alegar posteriormente equívocos ou erros.</w:t>
                            </w:r>
                          </w:p>
                          <w:p>
                            <w:pPr>
                              <w:pStyle w:val="Contedodoquadrouser"/>
                              <w:spacing w:lineRule="auto" w:line="240" w:before="0" w:after="0"/>
                              <w:ind w:hanging="0" w:start="0" w:end="0"/>
                              <w:jc w:val="both"/>
                              <w:rPr>
                                <w:color w:val="000000"/>
                              </w:rPr>
                            </w:pPr>
                            <w:r>
                              <w:rPr>
                                <w:color w:val="000000"/>
                              </w:rPr>
                            </w:r>
                          </w:p>
                        </w:txbxContent>
                      </wps:txbx>
                      <wps:bodyPr anchor="t">
                        <a:noAutofit/>
                      </wps:bodyPr>
                    </wps:wsp>
                  </a:graphicData>
                </a:graphic>
              </wp:anchor>
            </w:drawing>
          </mc:Choice>
          <mc:Fallback>
            <w:pict>
              <v:rect id="shape_0" fillcolor="white" stroked="t" o:allowincell="f" style="position:absolute;margin-left:-14.85pt;margin-top:-2.9pt;width:550.35pt;height:69pt;mso-wrap-style:square;v-text-anchor:top">
                <v:fill o:detectmouseclick="t" type="solid" color2="black"/>
                <v:stroke color="#4f81bd" weight="25560" joinstyle="round" endcap="flat"/>
                <v:textbo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13</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20"/>
                          <w:vertAlign w:val="baseline"/>
                        </w:rPr>
                        <w:t xml:space="preserve">    </w:t>
                      </w:r>
                      <w:r>
                        <w:rPr>
                          <w:rFonts w:eastAsia="Verdana" w:cs="Verdana" w:ascii="Verdana" w:hAnsi="Verdana"/>
                          <w:b w:val="false"/>
                          <w:i w:val="false"/>
                          <w:caps w:val="false"/>
                          <w:smallCaps w:val="false"/>
                          <w:strike w:val="false"/>
                          <w:dstrike w:val="false"/>
                          <w:color w:val="FF0000"/>
                          <w:position w:val="0"/>
                          <w:sz w:val="20"/>
                          <w:vertAlign w:val="baseline"/>
                        </w:rPr>
                        <w:t>Os licitantes são responsáveis por cadastrar suas informações no sistema e não poderão alegar posteriormente equívocos ou erros.</w:t>
                      </w:r>
                    </w:p>
                    <w:p>
                      <w:pPr>
                        <w:pStyle w:val="Contedodoquadrouser"/>
                        <w:spacing w:lineRule="auto" w:line="240" w:before="0" w:after="0"/>
                        <w:ind w:hanging="0" w:start="0" w:end="0"/>
                        <w:jc w:val="both"/>
                        <w:rPr>
                          <w:color w:val="000000"/>
                        </w:rPr>
                      </w:pPr>
                      <w:r>
                        <w:rPr>
                          <w:color w:val="000000"/>
                        </w:rPr>
                      </w:r>
                    </w:p>
                  </w:txbxContent>
                </v:textbox>
                <w10:wrap type="none"/>
              </v:rect>
            </w:pict>
          </mc:Fallback>
        </mc:AlternateContent>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mc:AlternateContent>
          <mc:Choice Requires="wps">
            <w:drawing>
              <wp:anchor distT="13335" distB="12065" distL="12700" distR="12700" simplePos="0" relativeHeight="84" behindDoc="0" locked="0" layoutInCell="1" allowOverlap="1">
                <wp:simplePos x="0" y="0"/>
                <wp:positionH relativeFrom="column">
                  <wp:posOffset>-188595</wp:posOffset>
                </wp:positionH>
                <wp:positionV relativeFrom="paragraph">
                  <wp:posOffset>114300</wp:posOffset>
                </wp:positionV>
                <wp:extent cx="6990080" cy="1058545"/>
                <wp:effectExtent l="12700" t="13335" r="12700" b="12065"/>
                <wp:wrapNone/>
                <wp:docPr id="56" name="Shape 82"/>
                <a:graphic xmlns:a="http://schemas.openxmlformats.org/drawingml/2006/main">
                  <a:graphicData uri="http://schemas.microsoft.com/office/word/2010/wordprocessingShape">
                    <wps:wsp>
                      <wps:cNvSpPr/>
                      <wps:spPr>
                        <a:xfrm>
                          <a:off x="0" y="0"/>
                          <a:ext cx="6990120" cy="1058400"/>
                        </a:xfrm>
                        <a:prstGeom prst="rect">
                          <a:avLst/>
                        </a:prstGeom>
                        <a:solidFill>
                          <a:srgbClr val="FFFFFF"/>
                        </a:solidFill>
                        <a:ln w="25400">
                          <a:solidFill>
                            <a:srgbClr val="9FC5E8"/>
                          </a:solidFill>
                          <a:round/>
                        </a:ln>
                      </wps:spPr>
                      <wps:style>
                        <a:lnRef idx="0"/>
                        <a:fillRef idx="0"/>
                        <a:effectRef idx="0"/>
                        <a:fontRef idx="minor"/>
                      </wps:style>
                      <wps:txb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14</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000000"/>
                                <w:position w:val="0"/>
                                <w:sz w:val="20"/>
                                <w:vertAlign w:val="baseline"/>
                              </w:rPr>
                              <w:t xml:space="preserve">  </w:t>
                            </w:r>
                            <w:r>
                              <w:rPr>
                                <w:rFonts w:eastAsia="Verdana" w:cs="Verdana" w:ascii="Verdana" w:hAnsi="Verdana"/>
                                <w:b w:val="false"/>
                                <w:i w:val="false"/>
                                <w:caps w:val="false"/>
                                <w:smallCaps w:val="false"/>
                                <w:strike w:val="false"/>
                                <w:dstrike w:val="false"/>
                                <w:color w:val="FF0000"/>
                                <w:position w:val="0"/>
                                <w:sz w:val="20"/>
                                <w:vertAlign w:val="baseline"/>
                              </w:rPr>
                              <w:t xml:space="preserve"> </w:t>
                            </w:r>
                            <w:r>
                              <w:rPr>
                                <w:rFonts w:eastAsia="Verdana" w:cs="Verdana" w:ascii="Verdana" w:hAnsi="Verdana"/>
                                <w:b w:val="false"/>
                                <w:i w:val="false"/>
                                <w:caps w:val="false"/>
                                <w:smallCaps w:val="false"/>
                                <w:strike w:val="false"/>
                                <w:dstrike w:val="false"/>
                                <w:color w:val="FF0000"/>
                                <w:position w:val="0"/>
                                <w:sz w:val="22"/>
                                <w:highlight w:val="white"/>
                                <w:vertAlign w:val="baseline"/>
                              </w:rPr>
                              <w:t>Não serão aceitas marcas com expressões como, “similar”, “outros”, “importado” ou “conforme o edital”, “diversos”, dentre outros.</w:t>
                            </w:r>
                          </w:p>
                          <w:p>
                            <w:pPr>
                              <w:pStyle w:val="Contedodoquadrouser"/>
                              <w:spacing w:lineRule="auto" w:line="240" w:before="0" w:after="0"/>
                              <w:ind w:firstLine="300" w:start="0" w:end="0"/>
                              <w:jc w:val="both"/>
                              <w:rPr>
                                <w:color w:val="000000"/>
                              </w:rPr>
                            </w:pPr>
                            <w:r>
                              <w:rPr>
                                <w:color w:val="000000"/>
                              </w:rPr>
                            </w:r>
                          </w:p>
                          <w:p>
                            <w:pPr>
                              <w:pStyle w:val="Contedodoquadrouser"/>
                              <w:spacing w:lineRule="auto" w:line="240" w:before="0" w:after="0"/>
                              <w:ind w:hanging="0" w:start="0" w:end="0"/>
                              <w:jc w:val="both"/>
                              <w:rPr>
                                <w:color w:val="000000"/>
                              </w:rPr>
                            </w:pPr>
                            <w:r>
                              <w:rPr>
                                <w:color w:val="000000"/>
                              </w:rPr>
                            </w:r>
                          </w:p>
                        </w:txbxContent>
                      </wps:txbx>
                      <wps:bodyPr anchor="t">
                        <a:noAutofit/>
                      </wps:bodyPr>
                    </wps:wsp>
                  </a:graphicData>
                </a:graphic>
              </wp:anchor>
            </w:drawing>
          </mc:Choice>
          <mc:Fallback>
            <w:pict>
              <v:rect id="shape_0" fillcolor="white" stroked="t" o:allowincell="f" style="position:absolute;margin-left:-14.85pt;margin-top:9pt;width:550.35pt;height:83.3pt;mso-wrap-style:square;v-text-anchor:top">
                <v:fill o:detectmouseclick="t" type="solid" color2="black"/>
                <v:stroke color="#9fc5e8" weight="25560" joinstyle="round" endcap="flat"/>
                <v:textbo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14</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000000"/>
                          <w:position w:val="0"/>
                          <w:sz w:val="20"/>
                          <w:vertAlign w:val="baseline"/>
                        </w:rPr>
                        <w:t xml:space="preserve">  </w:t>
                      </w:r>
                      <w:r>
                        <w:rPr>
                          <w:rFonts w:eastAsia="Verdana" w:cs="Verdana" w:ascii="Verdana" w:hAnsi="Verdana"/>
                          <w:b w:val="false"/>
                          <w:i w:val="false"/>
                          <w:caps w:val="false"/>
                          <w:smallCaps w:val="false"/>
                          <w:strike w:val="false"/>
                          <w:dstrike w:val="false"/>
                          <w:color w:val="FF0000"/>
                          <w:position w:val="0"/>
                          <w:sz w:val="20"/>
                          <w:vertAlign w:val="baseline"/>
                        </w:rPr>
                        <w:t xml:space="preserve"> </w:t>
                      </w:r>
                      <w:r>
                        <w:rPr>
                          <w:rFonts w:eastAsia="Verdana" w:cs="Verdana" w:ascii="Verdana" w:hAnsi="Verdana"/>
                          <w:b w:val="false"/>
                          <w:i w:val="false"/>
                          <w:caps w:val="false"/>
                          <w:smallCaps w:val="false"/>
                          <w:strike w:val="false"/>
                          <w:dstrike w:val="false"/>
                          <w:color w:val="FF0000"/>
                          <w:position w:val="0"/>
                          <w:sz w:val="22"/>
                          <w:highlight w:val="white"/>
                          <w:vertAlign w:val="baseline"/>
                        </w:rPr>
                        <w:t>Não serão aceitas marcas com expressões como, “similar”, “outros”, “importado” ou “conforme o edital”, “diversos”, dentre outros.</w:t>
                      </w:r>
                    </w:p>
                    <w:p>
                      <w:pPr>
                        <w:pStyle w:val="Contedodoquadrouser"/>
                        <w:spacing w:lineRule="auto" w:line="240" w:before="0" w:after="0"/>
                        <w:ind w:firstLine="300" w:start="0" w:end="0"/>
                        <w:jc w:val="both"/>
                        <w:rPr>
                          <w:color w:val="000000"/>
                        </w:rPr>
                      </w:pPr>
                      <w:r>
                        <w:rPr>
                          <w:color w:val="000000"/>
                        </w:rPr>
                      </w:r>
                    </w:p>
                    <w:p>
                      <w:pPr>
                        <w:pStyle w:val="Contedodoquadrouser"/>
                        <w:spacing w:lineRule="auto" w:line="240" w:before="0" w:after="0"/>
                        <w:ind w:hanging="0" w:start="0" w:end="0"/>
                        <w:jc w:val="both"/>
                        <w:rPr>
                          <w:color w:val="000000"/>
                        </w:rPr>
                      </w:pPr>
                      <w:r>
                        <w:rPr>
                          <w:color w:val="000000"/>
                        </w:rPr>
                      </w:r>
                    </w:p>
                  </w:txbxContent>
                </v:textbox>
                <w10:wrap type="none"/>
              </v:rect>
            </w:pict>
          </mc:Fallback>
        </mc:AlternateContent>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mc:AlternateContent>
          <mc:Choice Requires="wps">
            <w:drawing>
              <wp:anchor distT="12700" distB="12700" distL="13335" distR="12065" simplePos="0" relativeHeight="86" behindDoc="0" locked="0" layoutInCell="1" allowOverlap="1">
                <wp:simplePos x="0" y="0"/>
                <wp:positionH relativeFrom="column">
                  <wp:posOffset>-188595</wp:posOffset>
                </wp:positionH>
                <wp:positionV relativeFrom="paragraph">
                  <wp:posOffset>38100</wp:posOffset>
                </wp:positionV>
                <wp:extent cx="7012305" cy="1305560"/>
                <wp:effectExtent l="13335" t="12700" r="12065" b="12700"/>
                <wp:wrapNone/>
                <wp:docPr id="57" name="Shape 81"/>
                <a:graphic xmlns:a="http://schemas.openxmlformats.org/drawingml/2006/main">
                  <a:graphicData uri="http://schemas.microsoft.com/office/word/2010/wordprocessingShape">
                    <wps:wsp>
                      <wps:cNvSpPr/>
                      <wps:spPr>
                        <a:xfrm>
                          <a:off x="0" y="0"/>
                          <a:ext cx="7012440" cy="1305720"/>
                        </a:xfrm>
                        <a:prstGeom prst="rect">
                          <a:avLst/>
                        </a:prstGeom>
                        <a:solidFill>
                          <a:srgbClr val="FFFFFF"/>
                        </a:solidFill>
                        <a:ln w="25400">
                          <a:solidFill>
                            <a:srgbClr val="4F81BD"/>
                          </a:solidFill>
                          <a:round/>
                        </a:ln>
                      </wps:spPr>
                      <wps:style>
                        <a:lnRef idx="0"/>
                        <a:fillRef idx="0"/>
                        <a:effectRef idx="0"/>
                        <a:fontRef idx="minor"/>
                      </wps:style>
                      <wps:txb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15</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18"/>
                                <w:vertAlign w:val="baseline"/>
                              </w:rPr>
                              <w:t>C</w:t>
                            </w:r>
                            <w:r>
                              <w:rPr>
                                <w:rFonts w:eastAsia="Verdana" w:cs="Verdana" w:ascii="Verdana" w:hAnsi="Verdana"/>
                                <w:b w:val="false"/>
                                <w:i w:val="false"/>
                                <w:caps w:val="false"/>
                                <w:smallCaps w:val="false"/>
                                <w:strike w:val="false"/>
                                <w:dstrike w:val="false"/>
                                <w:color w:val="FF0000"/>
                                <w:position w:val="0"/>
                                <w:sz w:val="20"/>
                                <w:vertAlign w:val="baseline"/>
                              </w:rPr>
                              <w:t>onsiderando que a funcionalidade do sistema para desempate entre propostas previsto nos incisos do Art. 60 da Lei 14.133 c/c § 2º do art 28 da IN SEGES/ME nº 73/2022, está programada para avançar direto para o sorteio automaticamente, ou seja, não seguindo a ordem dos incisos previstos, questionará aos licitantes empatados se enviarão novos valores para que, no caso de negativa dos mesmos, prossiga na ordem que a lei tem regulamentado pelos dispositivos pertinentes.</w:t>
                            </w:r>
                          </w:p>
                          <w:p>
                            <w:pPr>
                              <w:pStyle w:val="Contedodoquadrouser"/>
                              <w:spacing w:lineRule="auto" w:line="240" w:before="0" w:after="0"/>
                              <w:ind w:hanging="0" w:start="0" w:end="0"/>
                              <w:jc w:val="both"/>
                              <w:rPr>
                                <w:color w:val="000000"/>
                              </w:rPr>
                            </w:pPr>
                            <w:r>
                              <w:rPr>
                                <w:color w:val="000000"/>
                              </w:rPr>
                            </w:r>
                          </w:p>
                          <w:p>
                            <w:pPr>
                              <w:pStyle w:val="Contedodoquadrouser"/>
                              <w:spacing w:lineRule="auto" w:line="240" w:before="0" w:after="0"/>
                              <w:ind w:hanging="0" w:start="0" w:end="0"/>
                              <w:jc w:val="both"/>
                              <w:rPr>
                                <w:color w:val="000000"/>
                              </w:rPr>
                            </w:pPr>
                            <w:r>
                              <w:rPr>
                                <w:color w:val="000000"/>
                              </w:rPr>
                            </w:r>
                          </w:p>
                        </w:txbxContent>
                      </wps:txbx>
                      <wps:bodyPr anchor="t">
                        <a:noAutofit/>
                      </wps:bodyPr>
                    </wps:wsp>
                  </a:graphicData>
                </a:graphic>
              </wp:anchor>
            </w:drawing>
          </mc:Choice>
          <mc:Fallback>
            <w:pict>
              <v:rect id="shape_0" fillcolor="white" stroked="t" o:allowincell="f" style="position:absolute;margin-left:-14.85pt;margin-top:3pt;width:552.1pt;height:102.75pt;mso-wrap-style:square;v-text-anchor:top">
                <v:fill o:detectmouseclick="t" type="solid" color2="black"/>
                <v:stroke color="#4f81bd" weight="25560" joinstyle="round" endcap="flat"/>
                <v:textbox>
                  <w:txbxContent>
                    <w:p>
                      <w:pPr>
                        <w:pStyle w:val="Contedodoquadrouser"/>
                        <w:spacing w:lineRule="auto" w:line="240" w:before="0" w:after="0"/>
                        <w:ind w:hanging="0" w:start="0" w:end="0"/>
                        <w:jc w:val="both"/>
                        <w:rPr/>
                      </w:pPr>
                      <w:r>
                        <w:rPr>
                          <w:rFonts w:eastAsia="Verdana" w:cs="Verdana" w:ascii="Verdana" w:hAnsi="Verdana"/>
                          <w:b/>
                          <w:i w:val="false"/>
                          <w:caps w:val="false"/>
                          <w:smallCaps w:val="false"/>
                          <w:strike w:val="false"/>
                          <w:dstrike w:val="false"/>
                          <w:color w:val="4F81BD"/>
                          <w:position w:val="0"/>
                          <w:sz w:val="20"/>
                          <w:vertAlign w:val="baseline"/>
                        </w:rPr>
                        <w:t>15</w:t>
                      </w:r>
                    </w:p>
                    <w:p>
                      <w:pPr>
                        <w:pStyle w:val="Contedodoquadrouser"/>
                        <w:spacing w:lineRule="auto" w:line="240" w:before="0" w:after="0"/>
                        <w:ind w:firstLine="300" w:start="0" w:end="0"/>
                        <w:jc w:val="both"/>
                        <w:rPr/>
                      </w:pPr>
                      <w:r>
                        <w:rPr>
                          <w:rFonts w:eastAsia="Verdana" w:cs="Verdana" w:ascii="Verdana" w:hAnsi="Verdana"/>
                          <w:b w:val="false"/>
                          <w:i w:val="false"/>
                          <w:caps w:val="false"/>
                          <w:smallCaps w:val="false"/>
                          <w:strike w:val="false"/>
                          <w:dstrike w:val="false"/>
                          <w:color w:val="FF0000"/>
                          <w:position w:val="0"/>
                          <w:sz w:val="18"/>
                          <w:vertAlign w:val="baseline"/>
                        </w:rPr>
                        <w:t>C</w:t>
                      </w:r>
                      <w:r>
                        <w:rPr>
                          <w:rFonts w:eastAsia="Verdana" w:cs="Verdana" w:ascii="Verdana" w:hAnsi="Verdana"/>
                          <w:b w:val="false"/>
                          <w:i w:val="false"/>
                          <w:caps w:val="false"/>
                          <w:smallCaps w:val="false"/>
                          <w:strike w:val="false"/>
                          <w:dstrike w:val="false"/>
                          <w:color w:val="FF0000"/>
                          <w:position w:val="0"/>
                          <w:sz w:val="20"/>
                          <w:vertAlign w:val="baseline"/>
                        </w:rPr>
                        <w:t>onsiderando que a funcionalidade do sistema para desempate entre propostas previsto nos incisos do Art. 60 da Lei 14.133 c/c § 2º do art 28 da IN SEGES/ME nº 73/2022, está programada para avançar direto para o sorteio automaticamente, ou seja, não seguindo a ordem dos incisos previstos, questionará aos licitantes empatados se enviarão novos valores para que, no caso de negativa dos mesmos, prossiga na ordem que a lei tem regulamentado pelos dispositivos pertinentes.</w:t>
                      </w:r>
                    </w:p>
                    <w:p>
                      <w:pPr>
                        <w:pStyle w:val="Contedodoquadrouser"/>
                        <w:spacing w:lineRule="auto" w:line="240" w:before="0" w:after="0"/>
                        <w:ind w:hanging="0" w:start="0" w:end="0"/>
                        <w:jc w:val="both"/>
                        <w:rPr>
                          <w:color w:val="000000"/>
                        </w:rPr>
                      </w:pPr>
                      <w:r>
                        <w:rPr>
                          <w:color w:val="000000"/>
                        </w:rPr>
                      </w:r>
                    </w:p>
                    <w:p>
                      <w:pPr>
                        <w:pStyle w:val="Contedodoquadrouser"/>
                        <w:spacing w:lineRule="auto" w:line="240" w:before="0" w:after="0"/>
                        <w:ind w:hanging="0" w:start="0" w:end="0"/>
                        <w:jc w:val="both"/>
                        <w:rPr>
                          <w:color w:val="000000"/>
                        </w:rPr>
                      </w:pPr>
                      <w:r>
                        <w:rPr>
                          <w:color w:val="000000"/>
                        </w:rPr>
                      </w:r>
                    </w:p>
                  </w:txbxContent>
                </v:textbox>
                <w10:wrap type="none"/>
              </v:rect>
            </w:pict>
          </mc:Fallback>
        </mc:AlternateContent>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r>
        <w:br w:type="page"/>
      </w:r>
    </w:p>
    <w:p>
      <w:pPr>
        <w:pStyle w:val="normal1"/>
        <w:spacing w:before="0" w:after="0"/>
        <w:rPr>
          <w:lang w:val="pt-BR"/>
        </w:rPr>
      </w:pPr>
      <w:r>
        <w:rPr>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Calibri" w:hAnsi="Calibri" w:eastAsia="Calibri" w:cs="Calibri"/>
          <w:color w:val="366091"/>
          <w:sz w:val="32"/>
          <w:szCs w:val="32"/>
        </w:rPr>
      </w:pPr>
      <w:r>
        <w:rPr>
          <w:rFonts w:eastAsia="Calibri" w:cs="Calibri" w:ascii="Calibri" w:hAnsi="Calibri"/>
          <w:color w:val="366091"/>
          <w:sz w:val="32"/>
          <w:szCs w:val="32"/>
        </w:rPr>
      </w:r>
    </w:p>
    <w:p>
      <w:pPr>
        <w:pStyle w:val="normal1"/>
        <w:rPr>
          <w:lang w:val="pt-BR"/>
        </w:rPr>
      </w:pPr>
      <w:r>
        <w:rPr>
          <w:lang w:val="pt-BR"/>
        </w:rPr>
      </w:r>
    </w:p>
    <w:p>
      <w:pPr>
        <w:pStyle w:val="normal1"/>
        <w:keepNext w:val="true"/>
        <w:keepLines/>
        <w:pageBreakBefore w:val="false"/>
        <w:widowControl/>
        <w:shd w:val="clear" w:fill="auto"/>
        <w:spacing w:lineRule="auto" w:line="259" w:before="240" w:after="0"/>
        <w:ind w:hanging="0" w:start="0" w:end="0"/>
        <w:jc w:val="start"/>
        <w:rPr>
          <w:lang w:val="pt-BR"/>
        </w:rPr>
      </w:pPr>
      <w:r>
        <w:rPr>
          <w:rFonts w:eastAsia="Calibri" w:cs="Calibri" w:ascii="Calibri" w:hAnsi="Calibri"/>
          <w:b w:val="false"/>
          <w:bCs w:val="false"/>
          <w:i w:val="false"/>
          <w:iCs w:val="false"/>
          <w:caps w:val="false"/>
          <w:smallCaps w:val="false"/>
          <w:strike w:val="false"/>
          <w:dstrike w:val="false"/>
          <w:color w:val="366091"/>
          <w:position w:val="0"/>
          <w:sz w:val="32"/>
          <w:szCs w:val="32"/>
          <w:u w:val="none"/>
          <w:shd w:fill="auto" w:val="clear"/>
          <w:vertAlign w:val="baseline"/>
          <w:lang w:val="pt-BR"/>
        </w:rPr>
        <w:t>Sumário</w:t>
      </w:r>
    </w:p>
    <w:sdt>
      <w:sdtPr>
        <w:docPartObj>
          <w:docPartGallery w:val="Table of Contents"/>
          <w:docPartUnique w:val="true"/>
        </w:docPartObj>
      </w:sdtPr>
      <w:sdtContent>
        <w:p>
          <w:pPr>
            <w:pStyle w:val="normal1"/>
            <w:keepNext w:val="false"/>
            <w:keepLines w:val="false"/>
            <w:pageBreakBefore w:val="false"/>
            <w:widowControl/>
            <w:tabs>
              <w:tab w:val="clear" w:pos="720"/>
              <w:tab w:val="left" w:pos="426" w:leader="none"/>
              <w:tab w:val="right" w:pos="9628" w:leader="none"/>
            </w:tabs>
            <w:spacing w:lineRule="auto" w:line="240" w:before="0" w:after="100"/>
            <w:ind w:hanging="0" w:start="0" w:end="0"/>
            <w:jc w:val="start"/>
            <w:rPr/>
          </w:pPr>
          <w:r>
            <w:fldChar w:fldCharType="begin"/>
          </w:r>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instrText xml:space="preserve"> TOC \z \o "1-9" \u \t "heading 1,1,heading 2,2,heading 3,3" \h</w:instrText>
          </w:r>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fldChar w:fldCharType="separate"/>
          </w:r>
          <w:hyperlink w:anchor="_heading=h.33d8ik45cvzc">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w:t>
            </w:r>
          </w:hyperlink>
          <w:hyperlink w:anchor="_heading=h.33d8ik45cvzc">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DO OBJETO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5</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ze7sgcogg7su">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2.</w:t>
            </w:r>
          </w:hyperlink>
          <w:hyperlink w:anchor="_heading=h.ze7sgcogg7su">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DO REGISTRO DE PREÇOS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6</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e88gft4brbo3">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3.</w:t>
            </w:r>
          </w:hyperlink>
          <w:hyperlink w:anchor="_heading=h.e88gft4brbo3">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PARTICIPAÇÃO NA LICITAÇÃO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6</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2e26kyjiwv0a">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4.</w:t>
            </w:r>
          </w:hyperlink>
          <w:hyperlink w:anchor="_heading=h.2e26kyjiwv0a">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DO ORÇAMENTO ESTIMADO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9</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3cqh8jb2go0z">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5.</w:t>
            </w:r>
          </w:hyperlink>
          <w:hyperlink w:anchor="_heading=h.3cqh8jb2go0z">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APRESENTAÇÃO DA PROPOSTA E DOS DOCUMENTOS DE HABILITAÇÃO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9</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kgqwwbhgogjd">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6.</w:t>
            </w:r>
          </w:hyperlink>
          <w:hyperlink w:anchor="_heading=h.kgqwwbhgogjd">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DO PREENCHIMENTO DA PROPOSTA</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12</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psr3p7a9wr3p">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7.</w:t>
            </w:r>
          </w:hyperlink>
          <w:hyperlink w:anchor="_heading=h.psr3p7a9wr3p">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ABERTURA DA SESSÃO, CLASSIFICAÇÃO DAS PROPOSTAS E FORMULAÇÃO DE LANCES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14</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paft5t81x9ty">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8.</w:t>
            </w:r>
          </w:hyperlink>
          <w:hyperlink w:anchor="_heading=h.paft5t81x9ty">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FASE DE JULGAMENTO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21</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i6xwk6ryr588">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9.</w:t>
            </w:r>
          </w:hyperlink>
          <w:hyperlink w:anchor="_heading=h.i6xwk6ryr588">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FASE DE HABILITAÇÃO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25</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2n1ih01hj54b">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10.</w:t>
            </w:r>
          </w:hyperlink>
          <w:hyperlink w:anchor="_heading=h.2n1ih01hj54b">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DO TERMO DE CONTRATO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29</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25ijugtlzgii">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11.</w:t>
            </w:r>
          </w:hyperlink>
          <w:hyperlink w:anchor="_heading=h.25ijugtlzgii">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ATA DE REGISTRO DE PREÇOS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30</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eftcxhyfrwj6">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12.</w:t>
            </w:r>
          </w:hyperlink>
          <w:hyperlink w:anchor="_heading=h.eftcxhyfrwj6">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DOS RECURSOS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32</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mpj4vip2u5kp">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13.</w:t>
            </w:r>
          </w:hyperlink>
          <w:hyperlink w:anchor="_heading=h.mpj4vip2u5kp">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DAS INFRAÇÕES ADMINISTRATIVAS E SANÇÕES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33</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bmvs8672rirw">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14.</w:t>
            </w:r>
          </w:hyperlink>
          <w:hyperlink w:anchor="_heading=h.bmvs8672rirw">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 IMPUGNAÇÃO AO EDITAL E DO PEDIDO DE ESCLARECIMENTO</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36</w:t>
          </w:r>
        </w:p>
        <w:p>
          <w:pPr>
            <w:pStyle w:val="normal1"/>
            <w:keepNext w:val="false"/>
            <w:keepLines w:val="false"/>
            <w:pageBreakBefore w:val="false"/>
            <w:widowControl/>
            <w:shd w:val="clear" w:fill="auto"/>
            <w:tabs>
              <w:tab w:val="clear" w:pos="720"/>
              <w:tab w:val="left" w:pos="426" w:leader="none"/>
              <w:tab w:val="right" w:pos="9628" w:leader="none"/>
            </w:tabs>
            <w:spacing w:lineRule="auto" w:line="240" w:before="0" w:after="100"/>
            <w:ind w:hanging="0" w:start="0" w:end="0"/>
            <w:jc w:val="start"/>
            <w:rPr/>
          </w:pPr>
          <w:hyperlink w:anchor="_heading=h.bj6p49xrkn6t">
            <w:r>
              <w:rPr>
                <w:rStyle w:val="Vnculodendice"/>
                <w:rFonts w:eastAsia="Arial" w:cs="Arial" w:ascii="Arial" w:hAnsi="Arial"/>
                <w:b w:val="false"/>
                <w:bCs w:val="false"/>
                <w:i w:val="false"/>
                <w:iCs w:val="false"/>
                <w:caps w:val="false"/>
                <w:smallCaps w:val="false"/>
                <w:strike w:val="false"/>
                <w:dstrike w:val="false"/>
                <w:vanish w:val="false"/>
                <w:webHidden/>
                <w:color w:val="000000"/>
                <w:position w:val="0"/>
                <w:sz w:val="20"/>
                <w:szCs w:val="20"/>
                <w:highlight w:val="lightGray"/>
                <w:u w:val="none"/>
                <w:vertAlign w:val="baseline"/>
                <w:lang w:val="pt-BR"/>
              </w:rPr>
              <w:t>15.</w:t>
            </w:r>
          </w:hyperlink>
          <w:hyperlink w:anchor="_heading=h.bj6p49xrkn6t">
            <w:r>
              <w:rPr>
                <w:rStyle w:val="Vnculodendice"/>
                <w:rFonts w:eastAsia="Cambria" w:cs="Cambria" w:ascii="Cambria" w:hAnsi="Cambria"/>
                <w:b w:val="false"/>
                <w:bCs w:val="false"/>
                <w:i w:val="false"/>
                <w:iCs w:val="false"/>
                <w:caps w:val="false"/>
                <w:smallCaps w:val="false"/>
                <w:strike w:val="false"/>
                <w:dstrike w:val="false"/>
                <w:vanish w:val="false"/>
                <w:webHidden/>
                <w:color w:val="000000"/>
                <w:position w:val="0"/>
                <w:sz w:val="24"/>
                <w:szCs w:val="24"/>
                <w:u w:val="none"/>
                <w:shd w:fill="auto" w:val="clear"/>
                <w:vertAlign w:val="baseline"/>
                <w:lang w:val="pt-BR"/>
              </w:rPr>
              <w:tab/>
            </w:r>
          </w:hyperlink>
          <w:r>
            <w:rPr>
              <w:rFonts w:eastAsia="Arial" w:cs="Arial" w:ascii="Arial" w:hAnsi="Arial"/>
              <w:b w:val="false"/>
              <w:bCs w:val="false"/>
              <w:i w:val="false"/>
              <w:iCs w:val="false"/>
              <w:caps w:val="false"/>
              <w:smallCaps w:val="false"/>
              <w:strike w:val="false"/>
              <w:dstrike w:val="false"/>
              <w:color w:val="000000"/>
              <w:position w:val="0"/>
              <w:sz w:val="20"/>
              <w:szCs w:val="20"/>
              <w:highlight w:val="lightGray"/>
              <w:u w:val="none"/>
              <w:vertAlign w:val="baseline"/>
              <w:lang w:val="pt-BR"/>
            </w:rPr>
            <w:t>DAS DISPOSIÇÕES GERAIS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b/>
            <w:t>36</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fldChar w:fldCharType="end"/>
          </w:r>
        </w:p>
      </w:sdtContent>
    </w:sdt>
    <w:p>
      <w:pPr>
        <w:pStyle w:val="normal1"/>
        <w:rPr>
          <w:lang w:val="pt-BR"/>
        </w:rPr>
      </w:pPr>
      <w:r>
        <w:rPr>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rPr>
          <w:rFonts w:ascii="Arial" w:hAnsi="Arial" w:eastAsia="Arial" w:cs="Arial"/>
          <w:b/>
          <w:bCs/>
          <w:color w:val="5B5B5F"/>
          <w:sz w:val="28"/>
          <w:szCs w:val="28"/>
          <w:lang w:val="pt-BR"/>
        </w:rPr>
      </w:pPr>
      <w:r>
        <w:rPr>
          <w:rFonts w:eastAsia="Arial" w:cs="Arial" w:ascii="Arial" w:hAnsi="Arial"/>
          <w:b/>
          <w:bCs/>
          <w:color w:val="5B5B5F"/>
          <w:sz w:val="28"/>
          <w:szCs w:val="28"/>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sz w:val="20"/>
          <w:szCs w:val="20"/>
          <w:lang w:val="pt-BR"/>
        </w:rPr>
      </w:pPr>
      <w:r>
        <w:rPr>
          <w:rFonts w:eastAsia="Arial" w:cs="Arial" w:ascii="Arial" w:hAnsi="Arial"/>
          <w:b/>
          <w:bCs/>
          <w:sz w:val="20"/>
          <w:szCs w:val="20"/>
          <w:lang w:val="pt-BR"/>
        </w:rPr>
      </w:r>
    </w:p>
    <w:p>
      <w:pPr>
        <w:pStyle w:val="normal1"/>
        <w:spacing w:lineRule="auto" w:line="312" w:before="288" w:after="288"/>
        <w:ind w:firstLine="567"/>
        <w:rPr>
          <w:rFonts w:ascii="Arial" w:hAnsi="Arial" w:eastAsia="Arial" w:cs="Arial"/>
          <w:b/>
          <w:bCs/>
          <w:sz w:val="20"/>
          <w:szCs w:val="20"/>
          <w:lang w:val="pt-BR"/>
        </w:rPr>
      </w:pPr>
      <w:r>
        <w:rPr>
          <w:rFonts w:eastAsia="Arial" w:cs="Arial" w:ascii="Arial" w:hAnsi="Arial"/>
          <w:b/>
          <w:bCs/>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spacing w:lineRule="auto" w:line="312" w:before="288" w:after="288"/>
        <w:ind w:firstLine="567"/>
        <w:rPr>
          <w:rFonts w:ascii="Arial" w:hAnsi="Arial" w:eastAsia="Arial" w:cs="Arial"/>
          <w:b/>
          <w:bCs/>
          <w:color w:val="000000"/>
          <w:sz w:val="20"/>
          <w:szCs w:val="20"/>
          <w:lang w:val="pt-BR"/>
        </w:rPr>
      </w:pPr>
      <w:r>
        <w:rPr>
          <w:rFonts w:eastAsia="Arial" w:cs="Arial" w:ascii="Arial" w:hAnsi="Arial"/>
          <w:b/>
          <w:bCs/>
          <w:color w:val="000000"/>
          <w:sz w:val="20"/>
          <w:szCs w:val="20"/>
          <w:lang w:val="pt-BR"/>
        </w:rPr>
        <w:drawing>
          <wp:anchor distT="0" distB="0" distL="0" distR="0" simplePos="0" relativeHeight="88" behindDoc="0" locked="0" layoutInCell="1" allowOverlap="1">
            <wp:simplePos x="0" y="0"/>
            <wp:positionH relativeFrom="column">
              <wp:posOffset>2694940</wp:posOffset>
            </wp:positionH>
            <wp:positionV relativeFrom="paragraph">
              <wp:posOffset>28575</wp:posOffset>
            </wp:positionV>
            <wp:extent cx="640080" cy="619125"/>
            <wp:effectExtent l="0" t="0" r="0" b="0"/>
            <wp:wrapNone/>
            <wp:docPr id="5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png"/>
                    <pic:cNvPicPr>
                      <a:picLocks noChangeAspect="1" noChangeArrowheads="1"/>
                    </pic:cNvPicPr>
                  </pic:nvPicPr>
                  <pic:blipFill>
                    <a:blip r:embed="rId10"/>
                    <a:stretch>
                      <a:fillRect/>
                    </a:stretch>
                  </pic:blipFill>
                  <pic:spPr bwMode="auto">
                    <a:xfrm>
                      <a:off x="0" y="0"/>
                      <a:ext cx="640080" cy="619125"/>
                    </a:xfrm>
                    <a:prstGeom prst="rect">
                      <a:avLst/>
                    </a:prstGeom>
                    <a:noFill/>
                  </pic:spPr>
                </pic:pic>
              </a:graphicData>
            </a:graphic>
          </wp:anchor>
        </w:drawing>
      </w:r>
    </w:p>
    <w:p>
      <w:pPr>
        <w:pStyle w:val="normal1"/>
        <w:spacing w:lineRule="auto" w:line="312" w:before="288" w:after="288"/>
        <w:ind w:firstLine="567"/>
        <w:rPr>
          <w:rFonts w:ascii="Arial" w:hAnsi="Arial" w:eastAsia="Arial" w:cs="Arial"/>
          <w:b/>
          <w:bCs/>
          <w:i/>
          <w:iCs/>
          <w:color w:val="FF0000"/>
          <w:sz w:val="20"/>
          <w:szCs w:val="20"/>
          <w:lang w:val="pt-BR"/>
        </w:rPr>
      </w:pPr>
      <w:r>
        <w:rPr>
          <w:rFonts w:eastAsia="Arial" w:cs="Arial" w:ascii="Arial" w:hAnsi="Arial"/>
          <w:b/>
          <w:bCs/>
          <w:i/>
          <w:iCs/>
          <w:color w:val="FF0000"/>
          <w:sz w:val="20"/>
          <w:szCs w:val="20"/>
          <w:lang w:val="pt-BR"/>
        </w:rPr>
      </w:r>
    </w:p>
    <w:p>
      <w:pPr>
        <w:pStyle w:val="normal1"/>
        <w:tabs>
          <w:tab w:val="clear" w:pos="720"/>
          <w:tab w:val="left" w:pos="6284" w:leader="none"/>
        </w:tabs>
        <w:jc w:val="center"/>
        <w:rPr>
          <w:lang w:val="pt-BR"/>
        </w:rPr>
      </w:pPr>
      <w:r>
        <w:rPr>
          <w:rFonts w:eastAsia="Calibri" w:cs="Calibri" w:ascii="Calibri" w:hAnsi="Calibri"/>
          <w:b/>
          <w:bCs/>
          <w:sz w:val="22"/>
          <w:szCs w:val="22"/>
          <w:lang w:val="pt-BR"/>
        </w:rPr>
        <w:t>MINISTÉRIO DA EDUCAÇÃO</w:t>
      </w:r>
    </w:p>
    <w:p>
      <w:pPr>
        <w:pStyle w:val="normal1"/>
        <w:keepNext w:val="true"/>
        <w:keepLines/>
        <w:jc w:val="center"/>
        <w:rPr>
          <w:lang w:val="pt-BR"/>
        </w:rPr>
      </w:pPr>
      <w:r>
        <w:rPr>
          <w:rFonts w:eastAsia="Calibri" w:cs="Calibri" w:ascii="Calibri" w:hAnsi="Calibri"/>
          <w:b/>
          <w:bCs/>
          <w:color w:val="000000"/>
          <w:sz w:val="22"/>
          <w:szCs w:val="22"/>
          <w:lang w:val="pt-BR"/>
        </w:rPr>
        <w:t>UNIVERSIDADE FEDERAL FLUMINENSE</w:t>
      </w:r>
    </w:p>
    <w:p>
      <w:pPr>
        <w:pStyle w:val="normal1"/>
        <w:jc w:val="center"/>
        <w:rPr>
          <w:lang w:val="pt-BR"/>
        </w:rPr>
      </w:pPr>
      <w:r>
        <w:rPr>
          <w:rFonts w:eastAsia="Calibri" w:cs="Calibri" w:ascii="Calibri" w:hAnsi="Calibri"/>
          <w:b/>
          <w:bCs/>
          <w:sz w:val="22"/>
          <w:szCs w:val="22"/>
          <w:lang w:val="pt-BR"/>
        </w:rPr>
        <w:t>PRÓ-REITORIA DE ADMINISTRAÇÃO</w:t>
      </w:r>
    </w:p>
    <w:p>
      <w:pPr>
        <w:pStyle w:val="normal1"/>
        <w:jc w:val="center"/>
        <w:rPr>
          <w:lang w:val="pt-BR"/>
        </w:rPr>
      </w:pPr>
      <w:r>
        <w:rPr>
          <w:rFonts w:eastAsia="Calibri" w:cs="Calibri" w:ascii="Calibri" w:hAnsi="Calibri"/>
          <w:b/>
          <w:bCs/>
          <w:sz w:val="22"/>
          <w:szCs w:val="22"/>
          <w:lang w:val="pt-BR"/>
        </w:rPr>
        <w:t xml:space="preserve">COORDENAÇÃO DE LICITAÇÃO </w:t>
      </w:r>
    </w:p>
    <w:p>
      <w:pPr>
        <w:pStyle w:val="normal1"/>
        <w:jc w:val="center"/>
        <w:rPr>
          <w:rFonts w:ascii="Calibri" w:hAnsi="Calibri" w:eastAsia="Calibri" w:cs="Calibri"/>
          <w:b/>
          <w:bCs/>
          <w:sz w:val="22"/>
          <w:szCs w:val="22"/>
          <w:lang w:val="pt-BR"/>
        </w:rPr>
      </w:pPr>
      <w:r>
        <w:rPr>
          <w:rFonts w:eastAsia="Calibri" w:cs="Calibri" w:ascii="Calibri" w:hAnsi="Calibri"/>
          <w:b/>
          <w:bCs/>
          <w:sz w:val="22"/>
          <w:szCs w:val="22"/>
          <w:lang w:val="pt-BR"/>
        </w:rPr>
      </w:r>
    </w:p>
    <w:p>
      <w:pPr>
        <w:pStyle w:val="normal1"/>
        <w:tabs>
          <w:tab w:val="clear" w:pos="720"/>
          <w:tab w:val="left" w:pos="708" w:leader="none"/>
          <w:tab w:val="center" w:pos="4252" w:leader="none"/>
          <w:tab w:val="right" w:pos="8504" w:leader="none"/>
        </w:tabs>
        <w:spacing w:lineRule="auto" w:line="240" w:before="100" w:after="100"/>
        <w:jc w:val="both"/>
        <w:rPr>
          <w:rFonts w:ascii="Calibri" w:hAnsi="Calibri" w:eastAsia="Calibri" w:cs="Calibri"/>
          <w:b/>
          <w:bCs/>
          <w:i/>
          <w:iCs/>
          <w:color w:val="FF0000"/>
          <w:sz w:val="22"/>
          <w:szCs w:val="22"/>
          <w:lang w:val="pt-BR"/>
        </w:rPr>
      </w:pPr>
      <w:r>
        <w:rPr>
          <w:rFonts w:eastAsia="Calibri" w:cs="Calibri" w:ascii="Calibri" w:hAnsi="Calibri"/>
          <w:b/>
          <w:bCs/>
          <w:i/>
          <w:iCs/>
          <w:color w:val="FF0000"/>
          <w:sz w:val="22"/>
          <w:szCs w:val="22"/>
          <w:lang w:val="pt-BR"/>
        </w:rPr>
      </w:r>
    </w:p>
    <w:p>
      <w:pPr>
        <w:pStyle w:val="normal1"/>
        <w:tabs>
          <w:tab w:val="clear" w:pos="720"/>
          <w:tab w:val="left" w:pos="708" w:leader="none"/>
          <w:tab w:val="center" w:pos="4252" w:leader="none"/>
          <w:tab w:val="right" w:pos="8504" w:leader="none"/>
        </w:tabs>
        <w:spacing w:lineRule="auto" w:line="240" w:before="100" w:after="100"/>
        <w:jc w:val="center"/>
        <w:rPr>
          <w:lang w:val="pt-BR"/>
        </w:rPr>
      </w:pPr>
      <w:r>
        <w:rPr>
          <w:rFonts w:eastAsia="Verdana" w:cs="Verdana" w:ascii="Verdana" w:hAnsi="Verdana"/>
          <w:b/>
          <w:bCs/>
          <w:color w:val="000000"/>
          <w:sz w:val="20"/>
          <w:szCs w:val="20"/>
          <w:lang w:val="pt-BR"/>
        </w:rPr>
        <w:t>EDITAL DE LICITAÇÃO</w:t>
      </w:r>
    </w:p>
    <w:p>
      <w:pPr>
        <w:pStyle w:val="normal1"/>
        <w:spacing w:lineRule="auto" w:line="240" w:before="100" w:after="100"/>
        <w:jc w:val="center"/>
        <w:rPr>
          <w:lang w:val="pt-BR"/>
        </w:rPr>
      </w:pPr>
      <w:r>
        <w:rPr>
          <w:rFonts w:eastAsia="Verdana" w:cs="Verdana" w:ascii="Verdana" w:hAnsi="Verdana"/>
          <w:b/>
          <w:bCs/>
          <w:sz w:val="20"/>
          <w:szCs w:val="20"/>
          <w:lang w:val="pt-BR"/>
        </w:rPr>
        <w:t>PREGÃO ELETRÔNICO Nº 90.021/2026/AD</w:t>
      </w:r>
    </w:p>
    <w:p>
      <w:pPr>
        <w:pStyle w:val="normal1"/>
        <w:spacing w:lineRule="auto" w:line="240" w:before="100" w:after="100"/>
        <w:jc w:val="center"/>
        <w:rPr>
          <w:lang w:val="pt-BR"/>
        </w:rPr>
      </w:pPr>
      <w:r>
        <w:rPr>
          <w:rFonts w:eastAsia="Verdana" w:cs="Verdana" w:ascii="Verdana" w:hAnsi="Verdana"/>
          <w:b/>
          <w:bCs/>
          <w:color w:val="000000"/>
          <w:sz w:val="20"/>
          <w:szCs w:val="20"/>
          <w:lang w:val="pt-BR"/>
        </w:rPr>
        <w:t xml:space="preserve">PROCESSO Nº </w:t>
      </w:r>
      <w:r>
        <w:rPr>
          <w:rFonts w:eastAsia="Verdana" w:cs="Verdana" w:ascii="Verdana" w:hAnsi="Verdana"/>
          <w:b/>
          <w:bCs/>
          <w:sz w:val="20"/>
          <w:szCs w:val="20"/>
          <w:lang w:val="pt-BR"/>
        </w:rPr>
        <w:t>23069.193846/2025-51</w:t>
      </w:r>
    </w:p>
    <w:p>
      <w:pPr>
        <w:pStyle w:val="normal1"/>
        <w:spacing w:lineRule="auto" w:line="312" w:before="288" w:after="288"/>
        <w:ind w:firstLine="567"/>
        <w:jc w:val="both"/>
        <w:rPr>
          <w:lang w:val="pt-BR"/>
        </w:rPr>
      </w:pPr>
      <w:r>
        <w:rPr>
          <w:rFonts w:eastAsia="Arial" w:cs="Arial" w:ascii="Arial" w:hAnsi="Arial"/>
          <w:color w:val="000000"/>
          <w:sz w:val="20"/>
          <w:szCs w:val="20"/>
          <w:lang w:val="pt-BR"/>
        </w:rPr>
        <w:t xml:space="preserve">Torna-se público que a Universidade Federal Fluminense, por meio da Pró-Reitoria de Administração, inscrita no CNPJ/MF sob nº 28.523.215/0039-89, situada na Rua Miguel de Frias, 9, 1º andar, Icaraí, Niterói/RJ, CEP 24.220-008, realizará licitação, para registro de preços , na modalidade </w:t>
      </w:r>
      <w:r>
        <w:rPr>
          <w:rFonts w:eastAsia="Arial" w:cs="Arial" w:ascii="Arial" w:hAnsi="Arial"/>
          <w:b/>
          <w:bCs/>
          <w:color w:val="000000"/>
          <w:sz w:val="20"/>
          <w:szCs w:val="20"/>
          <w:lang w:val="pt-BR"/>
        </w:rPr>
        <w:t>PREGÃO</w:t>
      </w:r>
      <w:r>
        <w:rPr>
          <w:rFonts w:eastAsia="Arial" w:cs="Arial" w:ascii="Arial" w:hAnsi="Arial"/>
          <w:color w:val="000000"/>
          <w:sz w:val="20"/>
          <w:szCs w:val="20"/>
          <w:lang w:val="pt-BR"/>
        </w:rPr>
        <w:t xml:space="preserve">, na forma ELETRÔNICA, nos termos da Lei nº 14.133, de 1º de abril de 2021, do Decreto nº 11.462, de 31 de março de 2023 e demais legislação aplicável e, ainda, de acordo com as condições estabelecidas neste Edital </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3" w:name="_heading=h.33d8ik45cvzc"/>
      <w:bookmarkEnd w:id="3"/>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DO OBJETO</w:t>
      </w:r>
    </w:p>
    <w:p>
      <w:pPr>
        <w:pStyle w:val="normal1"/>
        <w:numPr>
          <w:ilvl w:val="1"/>
          <w:numId w:val="1"/>
        </w:numPr>
        <w:spacing w:lineRule="auto" w:line="312" w:before="288" w:after="288"/>
        <w:ind w:firstLine="709" w:start="0"/>
        <w:jc w:val="both"/>
        <w:rPr>
          <w:lang w:val="pt-BR"/>
        </w:rPr>
      </w:pPr>
      <w:r>
        <w:rPr>
          <w:rFonts w:eastAsia="Arial" w:cs="Arial" w:ascii="Arial" w:hAnsi="Arial"/>
          <w:color w:val="000000"/>
          <w:sz w:val="20"/>
          <w:szCs w:val="20"/>
          <w:lang w:val="pt-BR"/>
        </w:rPr>
        <w:t>O objeto da presente licitação é o registro de preços é</w:t>
      </w:r>
      <w:r>
        <w:rPr>
          <w:rFonts w:eastAsia="Arial" w:cs="Arial" w:ascii="Arial" w:hAnsi="Arial"/>
          <w:b/>
          <w:bCs/>
          <w:color w:val="000000"/>
          <w:sz w:val="20"/>
          <w:szCs w:val="20"/>
          <w:lang w:val="pt-BR"/>
        </w:rPr>
        <w:t xml:space="preserve"> </w:t>
      </w:r>
      <w:r>
        <w:rPr>
          <w:rFonts w:eastAsia="Arial" w:cs="Arial" w:ascii="Arial" w:hAnsi="Arial"/>
          <w:b/>
          <w:bCs/>
          <w:sz w:val="20"/>
          <w:szCs w:val="20"/>
          <w:lang w:val="pt-BR"/>
        </w:rPr>
        <w:t>Aquisição de Eletrodomésticos, ar-condicionado, bebedouro e outros</w:t>
      </w:r>
      <w:r>
        <w:rPr>
          <w:rFonts w:eastAsia="Arial" w:cs="Arial" w:ascii="Arial" w:hAnsi="Arial"/>
          <w:b/>
          <w:bCs/>
          <w:color w:val="000000"/>
          <w:sz w:val="20"/>
          <w:szCs w:val="20"/>
          <w:lang w:val="pt-BR"/>
        </w:rPr>
        <w:t>,</w:t>
      </w:r>
      <w:r>
        <w:rPr>
          <w:rFonts w:eastAsia="Calibri" w:cs="Calibri" w:ascii="Calibri" w:hAnsi="Calibri"/>
          <w:color w:val="000000"/>
          <w:sz w:val="20"/>
          <w:szCs w:val="20"/>
          <w:lang w:val="pt-BR"/>
        </w:rPr>
        <w:t> </w:t>
      </w:r>
      <w:r>
        <w:rPr>
          <w:rFonts w:eastAsia="Arial" w:cs="Arial" w:ascii="Arial" w:hAnsi="Arial"/>
          <w:color w:val="000000"/>
          <w:sz w:val="20"/>
          <w:szCs w:val="20"/>
          <w:lang w:val="pt-BR"/>
        </w:rPr>
        <w:t>conforme condições, quantidades e exigências estabelecidas neste instru</w:t>
      </w:r>
      <w:r>
        <w:rPr>
          <w:rFonts w:eastAsia="Arial" w:cs="Arial" w:ascii="Arial" w:hAnsi="Arial"/>
          <w:color w:val="000000"/>
          <w:sz w:val="20"/>
          <w:szCs w:val="20"/>
          <w:shd w:fill="auto" w:val="clear"/>
          <w:lang w:val="pt-BR"/>
        </w:rPr>
        <w:t>mento e seus anexos.</w:t>
      </w:r>
    </w:p>
    <w:p>
      <w:pPr>
        <w:pStyle w:val="normal1"/>
        <w:numPr>
          <w:ilvl w:val="1"/>
          <w:numId w:val="1"/>
        </w:numPr>
        <w:spacing w:lineRule="auto" w:line="312" w:before="288" w:after="288"/>
        <w:ind w:firstLine="709" w:start="0"/>
        <w:jc w:val="both"/>
        <w:rPr>
          <w:lang w:val="pt-BR"/>
        </w:rPr>
      </w:pPr>
      <w:r>
        <w:rPr>
          <w:rFonts w:eastAsia="Arial" w:cs="Arial" w:ascii="Arial" w:hAnsi="Arial"/>
          <w:color w:val="000000"/>
          <w:sz w:val="20"/>
          <w:szCs w:val="20"/>
          <w:shd w:fill="auto" w:val="clear"/>
          <w:lang w:val="pt-BR"/>
        </w:rPr>
        <w:t>A licitação será dividida em itens, conforme tabela constante do Termo de Referência, facultando-se ao licitante a participação em quantos itens forem de seu interesse.</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4" w:name="_heading=h.ze7sgcogg7su"/>
      <w:bookmarkEnd w:id="4"/>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DO REGISTRO DE PREÇOS</w:t>
      </w:r>
    </w:p>
    <w:p>
      <w:pPr>
        <w:pStyle w:val="normal1"/>
        <w:numPr>
          <w:ilvl w:val="1"/>
          <w:numId w:val="1"/>
        </w:numPr>
        <w:spacing w:lineRule="auto" w:line="312" w:before="288" w:after="288"/>
        <w:ind w:firstLine="709" w:start="0"/>
        <w:jc w:val="both"/>
        <w:rPr>
          <w:lang w:val="pt-BR"/>
        </w:rPr>
      </w:pPr>
      <w:r>
        <w:rPr>
          <w:rFonts w:eastAsia="Arial" w:cs="Arial" w:ascii="Arial" w:hAnsi="Arial"/>
          <w:color w:val="000000"/>
          <w:sz w:val="20"/>
          <w:szCs w:val="20"/>
          <w:lang w:val="pt-BR"/>
        </w:rPr>
        <w:t>As regras referentes aos órgãos gerenciador e participantes, bem como a eventuais adesões são as que constam da minuta de Ata de Registro de Preços.</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5" w:name="_heading=h.e88gft4brbo3"/>
      <w:bookmarkEnd w:id="5"/>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PARTICIPAÇÃO NA LICITAÇÃO</w:t>
      </w:r>
    </w:p>
    <w:p>
      <w:pPr>
        <w:pStyle w:val="normal1"/>
        <w:numPr>
          <w:ilvl w:val="1"/>
          <w:numId w:val="1"/>
        </w:numPr>
        <w:spacing w:lineRule="auto" w:line="360" w:before="120" w:after="120"/>
        <w:ind w:firstLine="567" w:start="0"/>
        <w:jc w:val="both"/>
        <w:rPr/>
      </w:pPr>
      <w:r>
        <w:rPr>
          <w:rFonts w:eastAsia="Arial" w:cs="Arial" w:ascii="Arial" w:hAnsi="Arial"/>
          <w:color w:val="000000"/>
          <w:sz w:val="20"/>
          <w:szCs w:val="20"/>
          <w:lang w:val="pt-BR"/>
        </w:rPr>
        <w:t>Poderão participar deste certame os interessados previamente credenciados no Sistema de Cadastramento Unificado de Fornecedores - SICAF e no Sistema de Compras do Governo Federal (</w:t>
      </w:r>
      <w:hyperlink r:id="rId11">
        <w:r>
          <w:rPr>
            <w:rStyle w:val="Style3"/>
            <w:rFonts w:eastAsia="Arial" w:cs="Arial" w:ascii="Arial" w:hAnsi="Arial"/>
            <w:color w:val="0000FF"/>
            <w:sz w:val="20"/>
            <w:szCs w:val="20"/>
            <w:u w:val="single"/>
            <w:lang w:val="pt-BR"/>
          </w:rPr>
          <w:t>www.gov.br/compras</w:t>
        </w:r>
      </w:hyperlink>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ormal1"/>
        <w:numPr>
          <w:ilvl w:val="1"/>
          <w:numId w:val="1"/>
        </w:numPr>
        <w:spacing w:lineRule="auto" w:line="312" w:before="288" w:after="288"/>
        <w:ind w:firstLine="567" w:start="0"/>
        <w:jc w:val="both"/>
        <w:rPr/>
      </w:pPr>
      <w:r>
        <w:rPr>
          <w:rFonts w:eastAsia="Arial" w:cs="Arial" w:ascii="Arial" w:hAnsi="Arial"/>
          <w:sz w:val="20"/>
          <w:szCs w:val="20"/>
          <w:lang w:val="pt-BR"/>
        </w:rPr>
        <w:t xml:space="preserve">Para a participação exclusiva a microempresas e empresas de pequeno porte, nos termos do </w:t>
      </w:r>
      <w:hyperlink r:id="rId12">
        <w:r>
          <w:rPr>
            <w:rStyle w:val="Style3"/>
            <w:rFonts w:eastAsia="Arial" w:cs="Arial" w:ascii="Arial" w:hAnsi="Arial"/>
            <w:sz w:val="20"/>
            <w:szCs w:val="20"/>
            <w:u w:val="single"/>
            <w:lang w:val="pt-BR"/>
          </w:rPr>
          <w:t>art. 48 da Lei Complementar nº 123, de 14 de dezembro de 2006</w:t>
        </w:r>
      </w:hyperlink>
      <w:r>
        <w:rPr>
          <w:rFonts w:eastAsia="Arial" w:cs="Arial" w:ascii="Arial" w:hAnsi="Arial"/>
          <w:sz w:val="20"/>
          <w:szCs w:val="20"/>
          <w:lang w:val="pt-BR"/>
        </w:rPr>
        <w:t>, observar o anexo III.</w:t>
      </w:r>
    </w:p>
    <w:p>
      <w:pPr>
        <w:pStyle w:val="normal1"/>
        <w:numPr>
          <w:ilvl w:val="1"/>
          <w:numId w:val="1"/>
        </w:numPr>
        <w:spacing w:lineRule="auto" w:line="312" w:before="288" w:after="288"/>
        <w:ind w:firstLine="567" w:start="0"/>
        <w:jc w:val="both"/>
        <w:rPr>
          <w:lang w:val="pt-BR"/>
        </w:rPr>
      </w:pPr>
      <w:bookmarkStart w:id="6" w:name="_heading=h.3dy6vkm"/>
      <w:bookmarkEnd w:id="6"/>
      <w:r>
        <w:rPr>
          <w:rFonts w:eastAsia="Arial" w:cs="Arial" w:ascii="Arial" w:hAnsi="Arial"/>
          <w:color w:val="000000"/>
          <w:sz w:val="20"/>
          <w:szCs w:val="20"/>
          <w:shd w:fill="auto" w:val="clear"/>
          <w:lang w:val="pt-BR"/>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shd w:fill="auto" w:val="clear"/>
          <w:lang w:val="pt-BR"/>
        </w:rPr>
        <w:t xml:space="preserve">Será concedido tratamento favorecido para as microempresas e empresas de pequeno porte, para as sociedades cooperativas mencionadas no </w:t>
      </w:r>
      <w:r>
        <w:fldChar w:fldCharType="begin"/>
      </w:r>
      <w:r>
        <w:rPr>
          <w:rStyle w:val="Style3"/>
          <w:rFonts w:eastAsia="Arial" w:cs="Arial" w:ascii="Arial" w:hAnsi="Arial"/>
          <w:color w:val="000000"/>
          <w:sz w:val="20"/>
          <w:szCs w:val="20"/>
          <w:u w:val="single"/>
          <w:shd w:fill="auto" w:val="clear"/>
          <w:lang w:val="pt-BR"/>
        </w:rPr>
        <w:instrText xml:space="preserve"> HYPERLINK "http://www.planalto.gov.br/ccivil_03/_ato2019-2022/2021/lei/L14133.htm" \l "art16"</w:instrText>
      </w:r>
      <w:r>
        <w:rPr>
          <w:rStyle w:val="Style3"/>
          <w:rFonts w:eastAsia="Arial" w:cs="Arial" w:ascii="Arial" w:hAnsi="Arial"/>
          <w:color w:val="000000"/>
          <w:sz w:val="20"/>
          <w:szCs w:val="20"/>
          <w:u w:val="single"/>
          <w:shd w:fill="auto" w:val="clear"/>
          <w:lang w:val="pt-BR"/>
        </w:rPr>
        <w:fldChar w:fldCharType="separate"/>
      </w:r>
      <w:r>
        <w:rPr>
          <w:rStyle w:val="Style3"/>
          <w:rFonts w:eastAsia="Arial" w:cs="Arial" w:ascii="Arial" w:hAnsi="Arial"/>
          <w:color w:val="000000"/>
          <w:sz w:val="20"/>
          <w:szCs w:val="20"/>
          <w:u w:val="single"/>
          <w:shd w:fill="auto" w:val="clear"/>
          <w:lang w:val="pt-BR"/>
        </w:rPr>
        <w:t xml:space="preserve">artigo </w:t>
      </w:r>
      <w:r>
        <w:rPr>
          <w:rStyle w:val="Style3"/>
          <w:rFonts w:eastAsia="Arial" w:cs="Arial" w:ascii="Arial" w:hAnsi="Arial"/>
          <w:color w:val="000000"/>
          <w:sz w:val="20"/>
          <w:szCs w:val="20"/>
          <w:u w:val="single"/>
          <w:shd w:fill="auto" w:val="clear"/>
          <w:lang w:val="pt-BR"/>
        </w:rPr>
        <w:fldChar w:fldCharType="end"/>
      </w:r>
      <w:r>
        <w:rPr>
          <w:rFonts w:eastAsia="Arial" w:cs="Arial" w:ascii="Arial" w:hAnsi="Arial"/>
          <w:color w:val="000000"/>
          <w:sz w:val="20"/>
          <w:szCs w:val="20"/>
          <w:u w:val="single"/>
          <w:shd w:fill="auto" w:val="clear"/>
          <w:lang w:val="pt-BR"/>
        </w:rPr>
        <w:t>16 da Lei nº 14.133, de 2021</w:t>
      </w:r>
      <w:r>
        <w:rPr>
          <w:rFonts w:eastAsia="Arial" w:cs="Arial" w:ascii="Arial" w:hAnsi="Arial"/>
          <w:color w:val="000000"/>
          <w:sz w:val="20"/>
          <w:szCs w:val="20"/>
          <w:shd w:fill="auto" w:val="clear"/>
          <w:lang w:val="pt-BR"/>
        </w:rPr>
        <w:t xml:space="preserve">, para o agricultor familiar, o produtor rural pessoa física e para o microempreendedor individual - MEI, nos limites previstos da </w:t>
      </w:r>
      <w:hyperlink r:id="rId13">
        <w:r>
          <w:rPr>
            <w:rStyle w:val="Style3"/>
            <w:rFonts w:eastAsia="Arial" w:cs="Arial" w:ascii="Arial" w:hAnsi="Arial"/>
            <w:color w:val="000000"/>
            <w:sz w:val="20"/>
            <w:szCs w:val="20"/>
            <w:shd w:fill="auto" w:val="clear"/>
            <w:lang w:val="pt-BR"/>
          </w:rPr>
          <w:t>Lei Complementar nº 123, de 2006</w:t>
        </w:r>
      </w:hyperlink>
      <w:r>
        <w:rPr>
          <w:rFonts w:eastAsia="Arial" w:cs="Arial" w:ascii="Arial" w:hAnsi="Arial"/>
          <w:color w:val="000000"/>
          <w:sz w:val="20"/>
          <w:szCs w:val="20"/>
          <w:shd w:fill="auto" w:val="clear"/>
          <w:lang w:val="pt-BR"/>
        </w:rPr>
        <w:t xml:space="preserve"> e do Decreto nº 8.538, de 2015.</w:t>
      </w:r>
    </w:p>
    <w:p>
      <w:pPr>
        <w:pStyle w:val="normal1"/>
        <w:numPr>
          <w:ilvl w:val="1"/>
          <w:numId w:val="1"/>
        </w:numPr>
        <w:spacing w:lineRule="auto" w:line="360" w:before="120" w:after="120"/>
        <w:ind w:firstLine="567" w:start="0"/>
        <w:jc w:val="both"/>
        <w:rPr>
          <w:lang w:val="pt-BR"/>
        </w:rPr>
      </w:pPr>
      <w:r>
        <w:rPr>
          <w:rFonts w:eastAsia="Arial" w:cs="Arial" w:ascii="Arial" w:hAnsi="Arial"/>
          <w:sz w:val="20"/>
          <w:szCs w:val="20"/>
          <w:lang w:val="pt-BR"/>
        </w:rPr>
        <w:t xml:space="preserve">Considerando os termos da Lei 14.133/2021, que determina as regras do procedimento licitatório, as exigências contidas na habilitação deverão ser observadas por todas as empresas participantes independe de seu porte, em </w:t>
      </w:r>
      <w:r>
        <w:rPr>
          <w:rFonts w:eastAsia="Arial" w:cs="Arial" w:ascii="Arial" w:hAnsi="Arial"/>
          <w:b/>
          <w:bCs/>
          <w:sz w:val="20"/>
          <w:szCs w:val="20"/>
          <w:lang w:val="pt-BR"/>
        </w:rPr>
        <w:t xml:space="preserve">especial atenção </w:t>
      </w:r>
      <w:r>
        <w:rPr>
          <w:rFonts w:eastAsia="Arial" w:cs="Arial" w:ascii="Arial" w:hAnsi="Arial"/>
          <w:sz w:val="20"/>
          <w:szCs w:val="20"/>
          <w:lang w:val="pt-BR"/>
        </w:rPr>
        <w:t xml:space="preserve">ao que abrange os requisitos de qualificação econômico-financeira, </w:t>
      </w:r>
      <w:r>
        <w:rPr>
          <w:rFonts w:eastAsia="Arial" w:cs="Arial" w:ascii="Arial" w:hAnsi="Arial"/>
          <w:b/>
          <w:bCs/>
          <w:sz w:val="20"/>
          <w:szCs w:val="20"/>
          <w:lang w:val="pt-BR"/>
        </w:rPr>
        <w:t>quando exigido</w:t>
      </w:r>
      <w:r>
        <w:rPr>
          <w:rFonts w:eastAsia="Arial" w:cs="Arial" w:ascii="Arial" w:hAnsi="Arial"/>
          <w:sz w:val="20"/>
          <w:szCs w:val="20"/>
          <w:lang w:val="pt-BR"/>
        </w:rPr>
        <w:t>, conforme descrito neste edital e no Termo de Referência.</w:t>
      </w:r>
    </w:p>
    <w:p>
      <w:pPr>
        <w:pStyle w:val="normal1"/>
        <w:numPr>
          <w:ilvl w:val="1"/>
          <w:numId w:val="1"/>
        </w:numPr>
        <w:spacing w:lineRule="auto" w:line="312" w:before="288" w:after="288"/>
        <w:ind w:firstLine="567" w:start="0"/>
        <w:jc w:val="both"/>
        <w:rPr>
          <w:lang w:val="pt-BR"/>
        </w:rPr>
      </w:pPr>
      <w:bookmarkStart w:id="7" w:name="_heading=h.1t3h5sf"/>
      <w:bookmarkEnd w:id="7"/>
      <w:r>
        <w:rPr>
          <w:rFonts w:eastAsia="Arial" w:cs="Arial" w:ascii="Arial" w:hAnsi="Arial"/>
          <w:color w:val="000000"/>
          <w:sz w:val="20"/>
          <w:szCs w:val="20"/>
          <w:lang w:val="pt-BR"/>
        </w:rPr>
        <w:t>Não poderão disputar esta licitação: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aquele que não atenda às condições deste Edital e seu(s) anexo(s);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sociedade que desempenhe atividade incompatível com o objeto da licitação;</w:t>
      </w:r>
    </w:p>
    <w:p>
      <w:pPr>
        <w:pStyle w:val="normal1"/>
        <w:keepNext w:val="false"/>
        <w:keepLines w:val="false"/>
        <w:pageBreakBefore w:val="false"/>
        <w:widowControl/>
        <w:numPr>
          <w:ilvl w:val="2"/>
          <w:numId w:val="1"/>
        </w:numPr>
        <w:shd w:val="clear" w:fill="auto"/>
        <w:spacing w:lineRule="auto" w:line="276" w:before="120" w:after="120"/>
        <w:ind w:firstLine="567" w:start="567"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empresas estrangeiras que não tenham representação legal no Brasil com poderes expressos para receber citação e responder administrativa ou judicialmente;</w:t>
      </w:r>
    </w:p>
    <w:p>
      <w:pPr>
        <w:pStyle w:val="normal1"/>
        <w:keepNext w:val="false"/>
        <w:keepLines w:val="false"/>
        <w:pageBreakBefore w:val="false"/>
        <w:widowControl/>
        <w:shd w:val="clear" w:fill="auto"/>
        <w:spacing w:lineRule="auto" w:line="276" w:before="120" w:after="120"/>
        <w:ind w:hanging="0" w:start="0" w:end="0"/>
        <w:jc w:val="both"/>
        <w:rPr>
          <w:rFonts w:ascii="Arial" w:hAnsi="Arial" w:eastAsia="Arial" w:cs="Arial"/>
          <w:b w:val="false"/>
          <w:bCs w:val="false"/>
          <w:i w:val="false"/>
          <w:iCs w:val="false"/>
          <w:caps w:val="false"/>
          <w:smallCaps w:val="false"/>
          <w:strike/>
          <w:color w:val="000000"/>
          <w:position w:val="0"/>
          <w:sz w:val="20"/>
          <w:szCs w:val="20"/>
          <w:u w:val="none"/>
          <w:shd w:fill="auto" w:val="clear"/>
          <w:vertAlign w:val="baseline"/>
          <w:lang w:val="pt-BR"/>
        </w:rPr>
      </w:pPr>
      <w:r>
        <w:rPr>
          <w:rFonts w:eastAsia="Arial" w:cs="Arial" w:ascii="Arial" w:hAnsi="Arial"/>
          <w:b w:val="false"/>
          <w:bCs w:val="false"/>
          <w:i w:val="false"/>
          <w:iCs w:val="false"/>
          <w:caps w:val="false"/>
          <w:smallCaps w:val="false"/>
          <w:strike/>
          <w:color w:val="000000"/>
          <w:position w:val="0"/>
          <w:sz w:val="20"/>
          <w:szCs w:val="20"/>
          <w:u w:val="none"/>
          <w:shd w:fill="auto" w:val="clear"/>
          <w:vertAlign w:val="baseline"/>
          <w:lang w:val="pt-BR"/>
        </w:rPr>
      </w:r>
      <w:bookmarkStart w:id="8" w:name="_heading=h.aykoafpdee01"/>
      <w:bookmarkStart w:id="9" w:name="_heading=h.aykoafpdee01"/>
      <w:bookmarkEnd w:id="9"/>
    </w:p>
    <w:p>
      <w:pPr>
        <w:pStyle w:val="normal1"/>
        <w:numPr>
          <w:ilvl w:val="2"/>
          <w:numId w:val="1"/>
        </w:numPr>
        <w:spacing w:lineRule="auto" w:line="360" w:before="120" w:after="120"/>
        <w:ind w:firstLine="567" w:start="567"/>
        <w:jc w:val="both"/>
        <w:rPr>
          <w:lang w:val="pt-BR"/>
        </w:rPr>
      </w:pPr>
      <w:bookmarkStart w:id="10" w:name="_heading=h.4d34og8"/>
      <w:bookmarkEnd w:id="10"/>
      <w:r>
        <w:rPr>
          <w:rFonts w:eastAsia="Arial" w:cs="Arial" w:ascii="Arial" w:hAnsi="Arial"/>
          <w:color w:val="000000"/>
          <w:sz w:val="20"/>
          <w:szCs w:val="20"/>
          <w:lang w:val="pt-BR"/>
        </w:rPr>
        <w:t>pessoa física ou jurídica que se encontre, ao tempo da licitação, impossibilitada de participar da licitação em decorrência de sanção que lhe foi imposta;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ormal1"/>
        <w:numPr>
          <w:ilvl w:val="2"/>
          <w:numId w:val="1"/>
        </w:numPr>
        <w:spacing w:lineRule="auto" w:line="360" w:before="120" w:after="120"/>
        <w:ind w:firstLine="567" w:start="567"/>
        <w:jc w:val="both"/>
        <w:rPr>
          <w:lang w:val="pt-BR"/>
        </w:rPr>
      </w:pPr>
      <w:bookmarkStart w:id="11" w:name="_heading=h.2s8eyo1"/>
      <w:bookmarkEnd w:id="11"/>
      <w:r>
        <w:rPr>
          <w:rFonts w:eastAsia="Arial" w:cs="Arial" w:ascii="Arial" w:hAnsi="Arial"/>
          <w:color w:val="000000"/>
          <w:sz w:val="20"/>
          <w:szCs w:val="20"/>
          <w:lang w:val="pt-BR"/>
        </w:rPr>
        <w:t>empresas controladoras, controladas ou coligadas, nos termos da Lei nº 6.404, de 15 de dezembro de 1976, concorrendo entre si;</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Organizações da Sociedade Civil de Interesse Público - OSCIP, atuando nessa condição;</w:t>
      </w:r>
    </w:p>
    <w:p>
      <w:pPr>
        <w:pStyle w:val="normal1"/>
        <w:numPr>
          <w:ilvl w:val="2"/>
          <w:numId w:val="1"/>
        </w:numPr>
        <w:spacing w:lineRule="auto" w:line="360" w:before="120" w:after="120"/>
        <w:ind w:firstLine="567" w:start="567"/>
        <w:jc w:val="both"/>
        <w:rPr/>
      </w:pPr>
      <w:r>
        <w:rPr>
          <w:rFonts w:eastAsia="Arial" w:cs="Arial" w:ascii="Arial" w:hAnsi="Arial"/>
          <w:color w:val="000000"/>
          <w:sz w:val="20"/>
          <w:szCs w:val="20"/>
          <w:lang w:val="pt-B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Style3"/>
          <w:rFonts w:eastAsia="Arial" w:cs="Arial" w:ascii="Arial" w:hAnsi="Arial"/>
          <w:color w:val="000000"/>
          <w:sz w:val="20"/>
          <w:szCs w:val="20"/>
          <w:lang w:val="pt-BR"/>
        </w:rPr>
        <w:instrText xml:space="preserve"> HYPERLINK "http://www.planalto.gov.br/ccivil_03/_ato2019-2022/2021/lei/L14133.htm" \l "art9%C2%A71"</w:instrText>
      </w:r>
      <w:r>
        <w:rPr>
          <w:rStyle w:val="Style3"/>
          <w:rFonts w:eastAsia="Arial" w:cs="Arial" w:ascii="Arial" w:hAnsi="Arial"/>
          <w:color w:val="000000"/>
          <w:sz w:val="20"/>
          <w:szCs w:val="20"/>
          <w:lang w:val="pt-BR"/>
        </w:rPr>
        <w:fldChar w:fldCharType="separate"/>
      </w:r>
      <w:r>
        <w:rPr>
          <w:rStyle w:val="Style3"/>
          <w:rFonts w:eastAsia="Arial" w:cs="Arial" w:ascii="Arial" w:hAnsi="Arial"/>
          <w:color w:val="000000"/>
          <w:sz w:val="20"/>
          <w:szCs w:val="20"/>
          <w:lang w:val="pt-BR"/>
        </w:rPr>
        <w:t>§ 1º do art. 9º da Lei n.º 14.133, de 2021</w:t>
      </w:r>
      <w:r>
        <w:rPr>
          <w:rStyle w:val="Style3"/>
          <w:rFonts w:eastAsia="Arial" w:cs="Arial" w:ascii="Arial" w:hAnsi="Arial"/>
          <w:color w:val="000000"/>
          <w:sz w:val="20"/>
          <w:szCs w:val="20"/>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impedimento de que trata o item</w:t>
      </w:r>
      <w:r>
        <w:rPr>
          <w:rFonts w:eastAsia="Arial" w:cs="Arial" w:ascii="Arial" w:hAnsi="Arial"/>
          <w:b/>
          <w:bCs/>
          <w:sz w:val="20"/>
          <w:szCs w:val="20"/>
          <w:lang w:val="pt-BR"/>
        </w:rPr>
        <w:t xml:space="preserve"> 3.8.4</w:t>
      </w:r>
      <w:r>
        <w:rPr>
          <w:rFonts w:eastAsia="Arial" w:cs="Arial" w:ascii="Arial" w:hAnsi="Arial"/>
          <w:b/>
          <w:bCs/>
          <w:color w:val="000000"/>
          <w:sz w:val="20"/>
          <w:szCs w:val="20"/>
          <w:lang w:val="pt-BR"/>
        </w:rPr>
        <w:t xml:space="preserve"> </w:t>
      </w:r>
      <w:r>
        <w:rPr>
          <w:rFonts w:eastAsia="Arial" w:cs="Arial" w:ascii="Arial" w:hAnsi="Arial"/>
          <w:color w:val="000000"/>
          <w:sz w:val="20"/>
          <w:szCs w:val="20"/>
          <w:lang w:val="pt-BR"/>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sz w:val="20"/>
          <w:szCs w:val="20"/>
          <w:lang w:val="pt-BR"/>
        </w:rPr>
        <w:t xml:space="preserve">As vedações de que tratam </w:t>
      </w:r>
      <w:r>
        <w:rPr>
          <w:rFonts w:eastAsia="Arial" w:cs="Arial" w:ascii="Arial" w:hAnsi="Arial"/>
          <w:b/>
          <w:bCs/>
          <w:color w:val="4F6228"/>
          <w:sz w:val="20"/>
          <w:szCs w:val="20"/>
          <w:lang w:val="pt-BR"/>
        </w:rPr>
        <w:t>o Artigo 9º da Lei 14.133/2021</w:t>
      </w:r>
      <w:r>
        <w:rPr>
          <w:rFonts w:eastAsia="Arial" w:cs="Arial" w:ascii="Arial" w:hAnsi="Arial"/>
          <w:sz w:val="20"/>
          <w:szCs w:val="20"/>
          <w:lang w:val="pt-BR"/>
        </w:rPr>
        <w:t xml:space="preserve"> estendem-se </w:t>
      </w:r>
      <w:r>
        <w:rPr>
          <w:rFonts w:eastAsia="Arial" w:cs="Arial" w:ascii="Arial" w:hAnsi="Arial"/>
          <w:color w:val="000000"/>
          <w:sz w:val="20"/>
          <w:szCs w:val="20"/>
          <w:lang w:val="pt-BR"/>
        </w:rPr>
        <w:t>a terceiro que auxilie a condução da contratação na qualidade de integrante de equipe de apoio, profissional especializado ou funcionário ou representante de empresa que preste assessoria técnica.</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12" w:name="_heading=h.2e26kyjiwv0a"/>
      <w:bookmarkEnd w:id="12"/>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 xml:space="preserve">DO ORÇAMENTO ESTIMADO </w:t>
      </w:r>
    </w:p>
    <w:p>
      <w:pPr>
        <w:pStyle w:val="normal1"/>
        <w:numPr>
          <w:ilvl w:val="1"/>
          <w:numId w:val="1"/>
        </w:numPr>
        <w:spacing w:lineRule="auto" w:line="312" w:before="288" w:after="288"/>
        <w:ind w:firstLine="567" w:start="0"/>
        <w:jc w:val="both"/>
        <w:rPr>
          <w:lang w:val="pt-BR"/>
        </w:rPr>
      </w:pPr>
      <w:bookmarkStart w:id="13" w:name="_heading=h.cyslapdk8ihp"/>
      <w:bookmarkEnd w:id="13"/>
      <w:r>
        <w:rPr>
          <w:rFonts w:eastAsia="Arial" w:cs="Arial" w:ascii="Arial" w:hAnsi="Arial"/>
          <w:color w:val="000000"/>
          <w:sz w:val="20"/>
          <w:szCs w:val="20"/>
          <w:shd w:fill="auto" w:val="clear"/>
          <w:lang w:val="pt-BR"/>
        </w:rPr>
        <w:t xml:space="preserve">O orçamento estimado da presente contratação não será de caráter sigiloso </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14" w:name="_heading=h.3cqh8jb2go0z"/>
      <w:bookmarkEnd w:id="14"/>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APRESENTAÇÃO DA PROPOSTA E DOS DOCUMENTOS DE HABILITAÇÃO</w:t>
      </w:r>
    </w:p>
    <w:p>
      <w:pPr>
        <w:pStyle w:val="normal1"/>
        <w:numPr>
          <w:ilvl w:val="1"/>
          <w:numId w:val="1"/>
        </w:numPr>
        <w:spacing w:lineRule="auto" w:line="312" w:before="288" w:after="288"/>
        <w:ind w:firstLine="567" w:start="0"/>
        <w:jc w:val="both"/>
        <w:rPr>
          <w:lang w:val="pt-BR"/>
        </w:rPr>
      </w:pPr>
      <w:bookmarkStart w:id="15" w:name="_heading=h.35nkun2"/>
      <w:bookmarkEnd w:id="15"/>
      <w:r>
        <w:rPr>
          <w:rFonts w:eastAsia="Arial" w:cs="Arial" w:ascii="Arial" w:hAnsi="Arial"/>
          <w:strike w:val="false"/>
          <w:dstrike w:val="false"/>
          <w:color w:val="000000"/>
          <w:sz w:val="20"/>
          <w:szCs w:val="20"/>
          <w:lang w:val="pt-BR"/>
        </w:rPr>
        <w:t>Na presente licitação, a fase de habilitação sucederá as fases de apresentação de propostas e lances e de julgamento.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licitantes encaminharão, exclusivamente por meio do sistema eletrônico, a proposta com o preço ou o percentual de desconto, conforme o critério de julgamento adotado neste Edital, até a data e o horário estabelecidos para abertura da sessão pública.</w:t>
      </w:r>
    </w:p>
    <w:p>
      <w:pPr>
        <w:pStyle w:val="normal1"/>
        <w:numPr>
          <w:ilvl w:val="1"/>
          <w:numId w:val="1"/>
        </w:numPr>
        <w:spacing w:lineRule="auto" w:line="360" w:before="120" w:after="120"/>
        <w:ind w:firstLine="567" w:start="0"/>
        <w:jc w:val="both"/>
        <w:rPr>
          <w:lang w:val="pt-BR"/>
        </w:rPr>
      </w:pPr>
      <w:bookmarkStart w:id="16" w:name="_heading=h.1ksv4uv"/>
      <w:bookmarkEnd w:id="16"/>
      <w:r>
        <w:rPr>
          <w:rFonts w:eastAsia="Arial" w:cs="Arial" w:ascii="Arial" w:hAnsi="Arial"/>
          <w:color w:val="000000"/>
          <w:sz w:val="20"/>
          <w:szCs w:val="20"/>
          <w:lang w:val="pt-BR"/>
        </w:rPr>
        <w:t>No cadastramento da proposta inicial, o licitante declarará, em campo próprio do sistema, que: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ormal1"/>
        <w:numPr>
          <w:ilvl w:val="2"/>
          <w:numId w:val="1"/>
        </w:numPr>
        <w:spacing w:lineRule="auto" w:line="360" w:before="120" w:after="120"/>
        <w:ind w:firstLine="567" w:start="567"/>
        <w:jc w:val="both"/>
        <w:rPr/>
      </w:pPr>
      <w:r>
        <w:rPr>
          <w:rFonts w:eastAsia="Arial" w:cs="Arial" w:ascii="Arial" w:hAnsi="Arial"/>
          <w:color w:val="000000"/>
          <w:sz w:val="20"/>
          <w:szCs w:val="20"/>
          <w:lang w:val="pt-BR"/>
        </w:rPr>
        <w:t xml:space="preserve">Não emprega menor de 18 anos em trabalho noturno, perigoso ou insalubre e não emprega menor de 16 anos, salvo menor, a partir de 14 anos, na condição de aprendiz, nos termos do </w:t>
      </w:r>
      <w:r>
        <w:fldChar w:fldCharType="begin"/>
      </w:r>
      <w:r>
        <w:rPr>
          <w:rStyle w:val="Style3"/>
          <w:rFonts w:eastAsia="Arial" w:cs="Arial" w:ascii="Arial" w:hAnsi="Arial"/>
          <w:color w:val="0000FF"/>
          <w:sz w:val="20"/>
          <w:szCs w:val="20"/>
          <w:u w:val="single"/>
          <w:lang w:val="pt-BR"/>
        </w:rPr>
        <w:instrText xml:space="preserve"> HYPERLINK "https://www.planalto.gov.br/ccivil_03/constituicao/constituicaocompilado.htm" \l "art7"</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artigo 7°, XXXIII, da Constituição</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2"/>
          <w:numId w:val="1"/>
        </w:numPr>
        <w:spacing w:lineRule="auto" w:line="360" w:before="120" w:after="120"/>
        <w:ind w:firstLine="567" w:start="567"/>
        <w:jc w:val="both"/>
        <w:rPr/>
      </w:pPr>
      <w:r>
        <w:rPr>
          <w:rFonts w:eastAsia="Arial" w:cs="Arial" w:ascii="Arial" w:hAnsi="Arial"/>
          <w:color w:val="000000"/>
          <w:sz w:val="20"/>
          <w:szCs w:val="20"/>
          <w:lang w:val="pt-BR"/>
        </w:rPr>
        <w:t xml:space="preserve">Não possui, em sua cadeia produtiva, empregados executando trabalho degradante ou forçado, observando o disposto nos </w:t>
      </w:r>
      <w:hyperlink r:id="rId14">
        <w:r>
          <w:rPr>
            <w:rStyle w:val="Style3"/>
            <w:rFonts w:eastAsia="Arial" w:cs="Arial" w:ascii="Arial" w:hAnsi="Arial"/>
            <w:color w:val="0000FF"/>
            <w:sz w:val="20"/>
            <w:szCs w:val="20"/>
            <w:u w:val="single"/>
            <w:lang w:val="pt-BR"/>
          </w:rPr>
          <w:t>incisos III e IV do art. 1º e no inciso III do art. 5º da Constituição Federal</w:t>
        </w:r>
      </w:hyperlink>
      <w:r>
        <w:rPr>
          <w:rFonts w:eastAsia="Arial" w:cs="Arial" w:ascii="Arial" w:hAnsi="Arial"/>
          <w:color w:val="000000"/>
          <w:sz w:val="20"/>
          <w:szCs w:val="20"/>
          <w:lang w:val="pt-BR"/>
        </w:rPr>
        <w:t>;</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Cumpre as exigências de reserva de cargos para pessoa com deficiência e para reabilitado da Previdência Social, previstas em lei e em outras normas específicas.</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O licitante organizado em cooperativa deverá declarar, ainda, em campo próprio do sistema eletrônico, que cumpre os requisitos estabelecidos no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"art16"</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artigo 16 da Lei nº 14.133, de 2021</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O licitante deverá declarar em campo próprio do sistema se o produto ou serviço ofertado é manufaturado nacional beneficiado por um dos critérios de margem de preferência indicados no Termo de Referência, quando for o caso, para usufruir do benefício.</w:t>
      </w:r>
    </w:p>
    <w:p>
      <w:pPr>
        <w:pStyle w:val="normal1"/>
        <w:numPr>
          <w:ilvl w:val="1"/>
          <w:numId w:val="1"/>
        </w:numPr>
        <w:spacing w:lineRule="auto" w:line="312" w:before="288" w:after="288"/>
        <w:ind w:firstLine="567" w:start="0"/>
        <w:jc w:val="both"/>
        <w:rPr/>
      </w:pPr>
      <w:bookmarkStart w:id="17" w:name="_heading=h.44sinio"/>
      <w:bookmarkEnd w:id="17"/>
      <w:r>
        <w:rPr>
          <w:rFonts w:eastAsia="Arial" w:cs="Arial" w:ascii="Arial" w:hAnsi="Arial"/>
          <w:color w:val="000000"/>
          <w:sz w:val="20"/>
          <w:szCs w:val="20"/>
          <w:lang w:val="pt-BR"/>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Style3"/>
          <w:rFonts w:eastAsia="Arial" w:cs="Arial" w:ascii="Arial" w:hAnsi="Arial"/>
          <w:color w:val="0000FF"/>
          <w:sz w:val="20"/>
          <w:szCs w:val="20"/>
          <w:u w:val="single"/>
          <w:lang w:val="pt-BR"/>
        </w:rPr>
        <w:instrText xml:space="preserve"> HYPERLINK "https://www.planalto.gov.br/ccivil_03/leis/lcp/lcp123.htm" \l "art3"</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artigo 3° da Lei Complementar nº 123, de 2006</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 xml:space="preserve">, estando apto a usufruir do tratamento favorecido estabelecido em seus </w:t>
      </w:r>
      <w:r>
        <w:fldChar w:fldCharType="begin"/>
      </w:r>
      <w:r>
        <w:rPr>
          <w:rStyle w:val="Style3"/>
          <w:rFonts w:eastAsia="Arial" w:cs="Arial" w:ascii="Arial" w:hAnsi="Arial"/>
          <w:color w:val="0000FF"/>
          <w:sz w:val="20"/>
          <w:szCs w:val="20"/>
          <w:u w:val="single"/>
          <w:lang w:val="pt-BR"/>
        </w:rPr>
        <w:instrText xml:space="preserve"> HYPERLINK "https://www.planalto.gov.br/ccivil_03/leis/lcp/lcp123.htm" \l "art42"</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arts. 42 a 49</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 xml:space="preserve">, observado o disposto nos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"art4%C2%A71"</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 1º ao 3º do art. 4º, da Lei n.º 14.133, de 2021.</w:t>
      </w:r>
      <w:r>
        <w:rPr>
          <w:rStyle w:val="Style3"/>
          <w:rFonts w:eastAsia="Arial" w:cs="Arial" w:ascii="Arial" w:hAnsi="Arial"/>
          <w:color w:val="0000FF"/>
          <w:sz w:val="20"/>
          <w:szCs w:val="20"/>
          <w:u w:val="single"/>
          <w:lang w:val="pt-BR"/>
        </w:rPr>
        <w:fldChar w:fldCharType="end"/>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No item exclusivo para participação de microempresas e empresas de pequeno porte, a assinalação do campo “não” impedirá o prosseguimento no certame, para aquele item;</w:t>
      </w:r>
    </w:p>
    <w:p>
      <w:pPr>
        <w:pStyle w:val="normal1"/>
        <w:numPr>
          <w:ilvl w:val="2"/>
          <w:numId w:val="1"/>
        </w:numPr>
        <w:spacing w:lineRule="auto" w:line="360" w:before="120" w:after="120"/>
        <w:ind w:firstLine="567" w:start="567"/>
        <w:jc w:val="both"/>
        <w:rPr/>
      </w:pPr>
      <w:r>
        <w:rPr>
          <w:rFonts w:eastAsia="Arial" w:cs="Arial" w:ascii="Arial" w:hAnsi="Arial"/>
          <w:color w:val="000000"/>
          <w:sz w:val="20"/>
          <w:szCs w:val="20"/>
          <w:lang w:val="pt-BR"/>
        </w:rPr>
        <w:t xml:space="preserve">Nos itens em que a participação não for exclusiva para microempresas e empresas de pequeno porte, a assinalação do campo “não” apenas produzirá o efeito de o licitante não ter direito ao tratamento favorecido previsto na </w:t>
      </w:r>
      <w:hyperlink r:id="rId15">
        <w:r>
          <w:rPr>
            <w:rStyle w:val="Style3"/>
            <w:rFonts w:eastAsia="Arial" w:cs="Arial" w:ascii="Arial" w:hAnsi="Arial"/>
            <w:color w:val="0000FF"/>
            <w:sz w:val="20"/>
            <w:szCs w:val="20"/>
            <w:u w:val="single"/>
            <w:lang w:val="pt-BR"/>
          </w:rPr>
          <w:t>Lei Complementar nº 123, de 2006</w:t>
        </w:r>
      </w:hyperlink>
      <w:r>
        <w:rPr>
          <w:rFonts w:eastAsia="Arial" w:cs="Arial" w:ascii="Arial" w:hAnsi="Arial"/>
          <w:color w:val="000000"/>
          <w:sz w:val="20"/>
          <w:szCs w:val="20"/>
          <w:lang w:val="pt-BR"/>
        </w:rPr>
        <w:t>, mesmo que microempresa, empresa de pequeno porte ou sociedade cooperativa.</w:t>
      </w:r>
    </w:p>
    <w:p>
      <w:pPr>
        <w:pStyle w:val="normal1"/>
        <w:numPr>
          <w:ilvl w:val="1"/>
          <w:numId w:val="1"/>
        </w:numPr>
        <w:spacing w:lineRule="auto" w:line="312" w:before="288" w:after="288"/>
        <w:ind w:firstLine="567" w:start="0"/>
        <w:jc w:val="both"/>
        <w:rPr>
          <w:lang w:val="pt-BR"/>
        </w:rPr>
      </w:pPr>
      <w:bookmarkStart w:id="18" w:name="_heading=h.ha793dpo35lm"/>
      <w:bookmarkEnd w:id="18"/>
      <w:r>
        <w:rPr>
          <w:rFonts w:eastAsia="Arial" w:cs="Arial" w:ascii="Arial" w:hAnsi="Arial"/>
          <w:sz w:val="20"/>
          <w:szCs w:val="20"/>
          <w:lang w:val="pt-BR"/>
        </w:rPr>
        <w:t>Não poderá se beneficiar do tratamento jurídico diferenciado estabelecido nos arts. 42 a 49 da Lei Complementar nº 123, de 2006, a pessoa jurídica:</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de cujo capital participe outra pessoa jurídica</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que seja filial, sucursal, agência ou representação, no País, de pessoa jurídica com sede no exterior;</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cujo titular ou sócio participe com mais de 10% (dez por cento) do capital de outra empresa não beneficiada pela Lei Complementar nº 123, de 2006, desde que a receita bruta global ultrapasse o limite de que trata o inciso II do art. 3º da referida lei;</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cujo sócio ou titular seja administrador ou equiparado de outra pessoa jurídica com fins lucrativos, desde que a receita bruta global ultrapasse o limite de que trata o inciso II do art. 3º da referida lei;</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constituída sob a forma de cooperativas, salvo as de consumo;</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que participe do capital de outra pessoa jurídica;</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resultante ou remanescente de cisão ou qualquer outra forma de desmembramento de pessoa jurídica que tenha ocorrido em um dos 5 (cinco) anos-calendário anteriores;</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constituída sob a forma de sociedade por ações.</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cujos titulares ou sócios guardem, cumulativamente, com o contratante do serviço, relação de pessoalidade, subordinação e habitualidade.</w:t>
      </w:r>
    </w:p>
    <w:p>
      <w:pPr>
        <w:pStyle w:val="normal1"/>
        <w:numPr>
          <w:ilvl w:val="1"/>
          <w:numId w:val="1"/>
        </w:numPr>
        <w:spacing w:lineRule="auto" w:line="312" w:before="288" w:after="288"/>
        <w:ind w:firstLine="567" w:start="0"/>
        <w:jc w:val="both"/>
        <w:rPr>
          <w:lang w:val="pt-BR"/>
        </w:rPr>
      </w:pPr>
      <w:bookmarkStart w:id="19" w:name="_heading=h.mmo4yefay29v"/>
      <w:bookmarkEnd w:id="19"/>
      <w:r>
        <w:rPr>
          <w:rFonts w:eastAsia="Arial" w:cs="Arial" w:ascii="Arial" w:hAnsi="Arial"/>
          <w:color w:val="000000"/>
          <w:sz w:val="20"/>
          <w:szCs w:val="20"/>
          <w:lang w:val="pt-BR"/>
        </w:rPr>
        <w:t>O licitante deverá declarar em campo próprio do sistema que desenvolve programa de integridade, nos termos do Decreto nº 12.304, de 2024, e da Portaria Normativa SE/CGU nº 226, de 9 de setembro de 2025, para fazer jus ao benefício do critério de desempate previsto no art. 60, caput, inciso IV, da lei n. 14.133, de 2021.</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A falsidade da declaração de que trata os itens 5.4, 5.9 ou 5.10 sujeitará o licitante às sanções previstas na </w:t>
      </w:r>
      <w:hyperlink r:id="rId16">
        <w:r>
          <w:rPr>
            <w:rStyle w:val="Style3"/>
            <w:rFonts w:eastAsia="Arial" w:cs="Arial" w:ascii="Arial" w:hAnsi="Arial"/>
            <w:color w:val="0000FF"/>
            <w:sz w:val="20"/>
            <w:szCs w:val="20"/>
            <w:u w:val="single"/>
            <w:lang w:val="pt-BR"/>
          </w:rPr>
          <w:t>Lei nº 14.133, de 2021</w:t>
        </w:r>
      </w:hyperlink>
      <w:r>
        <w:rPr>
          <w:rFonts w:eastAsia="Arial" w:cs="Arial" w:ascii="Arial" w:hAnsi="Arial"/>
          <w:color w:val="000000"/>
          <w:sz w:val="20"/>
          <w:szCs w:val="20"/>
          <w:lang w:val="pt-BR"/>
        </w:rPr>
        <w:t>, e neste Edital.</w:t>
      </w:r>
    </w:p>
    <w:p>
      <w:pPr>
        <w:pStyle w:val="normal1"/>
        <w:numPr>
          <w:ilvl w:val="1"/>
          <w:numId w:val="1"/>
        </w:numPr>
        <w:spacing w:lineRule="auto" w:line="312" w:before="288" w:after="288"/>
        <w:ind w:firstLine="567" w:start="0"/>
        <w:jc w:val="both"/>
        <w:rPr>
          <w:lang w:val="pt-BR"/>
        </w:rPr>
      </w:pPr>
      <w:r>
        <w:rPr>
          <w:rFonts w:eastAsia="Arial" w:cs="Arial" w:ascii="Arial" w:hAnsi="Arial"/>
          <w:b/>
          <w:bCs/>
          <w:sz w:val="20"/>
          <w:szCs w:val="20"/>
          <w:lang w:val="pt-BR"/>
        </w:rPr>
        <w:t>Os licitantes poderão alterar o cadastro de seus valores iniciais</w:t>
      </w:r>
      <w:r>
        <w:rPr>
          <w:rFonts w:eastAsia="Arial" w:cs="Arial" w:ascii="Arial" w:hAnsi="Arial"/>
          <w:sz w:val="20"/>
          <w:szCs w:val="20"/>
          <w:lang w:val="pt-BR"/>
        </w:rPr>
        <w:t xml:space="preserve">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Não haverá ordem de classificação na etapa de apresentação da proposta, o que ocorrerá somente após os procedimentos de abertura da sessão pública e da fase de envio de lances.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Serão disponibilizados para acesso público os documentos que compõem a proposta dos licitantes convocados para apresentação de propostas, após a fase de envio de lances.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licitante deverá comunicar imediatamente ao provedor do sistema qualquer acontecimento que possa comprometer o sigilo ou a segurança, para imediato bloqueio de acesso.</w:t>
      </w:r>
    </w:p>
    <w:p>
      <w:pPr>
        <w:pStyle w:val="normal1"/>
        <w:rPr>
          <w:rFonts w:ascii="Arial" w:hAnsi="Arial" w:eastAsia="Arial" w:cs="Arial"/>
          <w:lang w:val="pt-BR"/>
        </w:rPr>
      </w:pPr>
      <w:r>
        <w:rPr>
          <w:rFonts w:eastAsia="Arial" w:cs="Arial" w:ascii="Arial" w:hAnsi="Arial"/>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20" w:name="_heading=h.kgqwwbhgogjd"/>
      <w:bookmarkEnd w:id="20"/>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DO PREENCHIMENTO DA PROPOSTA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 licitante deverá </w:t>
      </w:r>
      <w:r>
        <w:rPr>
          <w:rFonts w:eastAsia="Arial" w:cs="Arial" w:ascii="Arial" w:hAnsi="Arial"/>
          <w:sz w:val="20"/>
          <w:szCs w:val="20"/>
          <w:lang w:val="pt-BR"/>
        </w:rPr>
        <w:t>cadastrar</w:t>
      </w:r>
      <w:r>
        <w:rPr>
          <w:rFonts w:eastAsia="Arial" w:cs="Arial" w:ascii="Arial" w:hAnsi="Arial"/>
          <w:color w:val="000000"/>
          <w:sz w:val="20"/>
          <w:szCs w:val="20"/>
          <w:lang w:val="pt-BR"/>
        </w:rPr>
        <w:t xml:space="preserve"> sua proposta mediante o preenchimento, no sistema eletrônico, dos seguintes campos: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Valor unitário e total do item/grupo;</w:t>
      </w:r>
    </w:p>
    <w:p>
      <w:pPr>
        <w:pStyle w:val="normal1"/>
        <w:numPr>
          <w:ilvl w:val="2"/>
          <w:numId w:val="1"/>
        </w:numPr>
        <w:spacing w:lineRule="auto" w:line="360" w:before="120" w:after="120"/>
        <w:ind w:firstLine="567" w:start="567"/>
        <w:jc w:val="both"/>
        <w:rPr>
          <w:lang w:val="pt-BR"/>
        </w:rPr>
      </w:pPr>
      <w:r>
        <w:rPr>
          <w:rFonts w:eastAsia="Arial" w:cs="Arial" w:ascii="Arial" w:hAnsi="Arial"/>
          <w:b/>
          <w:bCs/>
          <w:color w:val="000000"/>
          <w:sz w:val="20"/>
          <w:szCs w:val="20"/>
          <w:lang w:val="pt-BR"/>
        </w:rPr>
        <w:t>Marca;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Fabricante;</w:t>
      </w:r>
    </w:p>
    <w:p>
      <w:pPr>
        <w:pStyle w:val="normal1"/>
        <w:numPr>
          <w:ilvl w:val="2"/>
          <w:numId w:val="1"/>
        </w:numPr>
        <w:spacing w:lineRule="auto" w:line="360" w:before="120" w:after="120"/>
        <w:ind w:firstLine="567" w:start="567"/>
        <w:jc w:val="both"/>
        <w:rPr>
          <w:lang w:val="pt-BR"/>
        </w:rPr>
      </w:pPr>
      <w:r>
        <w:rPr>
          <w:rFonts w:eastAsia="Arial" w:cs="Arial" w:ascii="Arial" w:hAnsi="Arial"/>
          <w:b/>
          <w:bCs/>
          <w:strike w:val="false"/>
          <w:dstrike w:val="false"/>
          <w:sz w:val="20"/>
          <w:szCs w:val="20"/>
          <w:lang w:val="pt-BR"/>
        </w:rPr>
        <w:t xml:space="preserve">Modelo/Versão;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Todas as especificações do objeto contidas na proposta vinculam o licitante.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 xml:space="preserve">O licitante </w:t>
      </w:r>
      <w:r>
        <w:rPr>
          <w:rFonts w:eastAsia="Arial" w:cs="Arial" w:ascii="Arial" w:hAnsi="Arial"/>
          <w:b/>
          <w:bCs/>
          <w:sz w:val="20"/>
          <w:szCs w:val="20"/>
          <w:lang w:val="pt-BR"/>
        </w:rPr>
        <w:t>[NÃO]</w:t>
      </w:r>
      <w:r>
        <w:rPr>
          <w:rFonts w:eastAsia="Arial" w:cs="Arial" w:ascii="Arial" w:hAnsi="Arial"/>
          <w:sz w:val="20"/>
          <w:szCs w:val="20"/>
          <w:lang w:val="pt-BR"/>
        </w:rPr>
        <w:t xml:space="preserve"> </w:t>
      </w:r>
      <w:r>
        <w:rPr>
          <w:rFonts w:eastAsia="Arial" w:cs="Arial" w:ascii="Arial" w:hAnsi="Arial"/>
          <w:color w:val="000000"/>
          <w:sz w:val="20"/>
          <w:szCs w:val="20"/>
          <w:lang w:val="pt-BR"/>
        </w:rPr>
        <w:t>poderá oferecer proposta em quantitativo inferior ao máximo previsto para contratação.</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Os licitantes deverão registrar uma única marca corresponde ao produto ofertado para que não haja prejuízos à isonomia do certame, sendo passível de recusa da proposta.</w:t>
      </w:r>
    </w:p>
    <w:p>
      <w:pPr>
        <w:pStyle w:val="normal1"/>
        <w:numPr>
          <w:ilvl w:val="2"/>
          <w:numId w:val="1"/>
        </w:numPr>
        <w:spacing w:lineRule="auto" w:line="360" w:before="120" w:after="120"/>
        <w:ind w:firstLine="567" w:start="567"/>
        <w:jc w:val="both"/>
        <w:rPr>
          <w:lang w:val="pt-BR"/>
        </w:rPr>
      </w:pPr>
      <w:r>
        <w:rPr>
          <w:rFonts w:eastAsia="Arial" w:cs="Arial" w:ascii="Arial" w:hAnsi="Arial"/>
          <w:b/>
          <w:bCs/>
          <w:sz w:val="20"/>
          <w:szCs w:val="20"/>
          <w:highlight w:val="white"/>
          <w:lang w:val="pt-BR"/>
        </w:rPr>
        <w:t>Não serão aceitos registros de marca e modelo nas propostas em sistema com expressões que denotem generalidade, prejudicando a isonomia do processo, tais como “similar”, “outros”, “importado”, “conforme o edital”, “diversos”, dentre outros”.</w:t>
      </w:r>
    </w:p>
    <w:p>
      <w:pPr>
        <w:pStyle w:val="normal1"/>
        <w:numPr>
          <w:ilvl w:val="2"/>
          <w:numId w:val="1"/>
        </w:numPr>
        <w:spacing w:lineRule="auto" w:line="360" w:before="120" w:after="120"/>
        <w:ind w:firstLine="567" w:start="567"/>
        <w:jc w:val="both"/>
        <w:rPr>
          <w:lang w:val="pt-BR"/>
        </w:rPr>
      </w:pPr>
      <w:r>
        <w:rPr>
          <w:rFonts w:eastAsia="Arial" w:cs="Arial" w:ascii="Arial" w:hAnsi="Arial"/>
          <w:b/>
          <w:bCs/>
          <w:sz w:val="20"/>
          <w:szCs w:val="20"/>
          <w:highlight w:val="white"/>
          <w:lang w:val="pt-BR"/>
        </w:rPr>
        <w:t>Não serão aceitas divergências entre as marcas e modelos registrados em sistema com as que se encontram na proposta enviada na fase de julgamento, decorrendo na desclassificação do participante do certame.</w:t>
      </w:r>
    </w:p>
    <w:p>
      <w:pPr>
        <w:pStyle w:val="normal1"/>
        <w:numPr>
          <w:ilvl w:val="1"/>
          <w:numId w:val="1"/>
        </w:numPr>
        <w:spacing w:lineRule="auto" w:line="312" w:before="288" w:after="288"/>
        <w:ind w:firstLine="567" w:start="0"/>
        <w:jc w:val="both"/>
        <w:rPr>
          <w:lang w:val="pt-BR"/>
        </w:rPr>
      </w:pPr>
      <w:r>
        <w:rPr>
          <w:rFonts w:eastAsia="Arial" w:cs="Arial" w:ascii="Arial" w:hAnsi="Arial"/>
          <w:b/>
          <w:bCs/>
          <w:sz w:val="20"/>
          <w:szCs w:val="20"/>
          <w:lang w:val="pt-BR"/>
        </w:rPr>
        <w:t>Os licitantes são responsáveis por cadastrar suas informações no sistema e não poderão alegar posteriormente equívocos ou erros.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Nos valores propostos estarão inclusos todos os custos operacionais, encargos previdenciários, trabalhistas, tributários, comerciais e quaisquer outros que incidam direta ou indiretamente na execução do objeto.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ormal1"/>
        <w:numPr>
          <w:ilvl w:val="2"/>
          <w:numId w:val="1"/>
        </w:numPr>
        <w:spacing w:lineRule="auto" w:line="312" w:before="288" w:after="288"/>
        <w:ind w:hanging="993" w:start="2127"/>
        <w:jc w:val="both"/>
        <w:rPr>
          <w:lang w:val="pt-BR"/>
        </w:rPr>
      </w:pPr>
      <w:r>
        <w:rPr>
          <w:rFonts w:eastAsia="Arial" w:cs="Arial" w:ascii="Arial" w:hAnsi="Arial"/>
          <w:color w:val="000000"/>
          <w:sz w:val="20"/>
          <w:szCs w:val="20"/>
          <w:lang w:val="pt-BR"/>
        </w:rPr>
        <w:t xml:space="preserve">O prazo de validade da proposta não será inferior a </w:t>
      </w:r>
      <w:r>
        <w:rPr>
          <w:rFonts w:eastAsia="Arial" w:cs="Arial" w:ascii="Arial" w:hAnsi="Arial"/>
          <w:b/>
          <w:bCs/>
          <w:sz w:val="20"/>
          <w:szCs w:val="20"/>
          <w:lang w:val="pt-BR"/>
        </w:rPr>
        <w:t xml:space="preserve">60 (sessenta) </w:t>
      </w:r>
      <w:r>
        <w:rPr>
          <w:rFonts w:eastAsia="Arial" w:cs="Arial" w:ascii="Arial" w:hAnsi="Arial"/>
          <w:color w:val="000000"/>
          <w:sz w:val="20"/>
          <w:szCs w:val="20"/>
          <w:lang w:val="pt-BR"/>
        </w:rPr>
        <w:t>dias</w:t>
      </w:r>
      <w:r>
        <w:rPr>
          <w:rFonts w:eastAsia="Arial" w:cs="Arial" w:ascii="Arial" w:hAnsi="Arial"/>
          <w:b/>
          <w:bCs/>
          <w:color w:val="000000"/>
          <w:sz w:val="20"/>
          <w:szCs w:val="20"/>
          <w:lang w:val="pt-BR"/>
        </w:rPr>
        <w:t>,</w:t>
      </w:r>
      <w:r>
        <w:rPr>
          <w:rFonts w:eastAsia="Arial" w:cs="Arial" w:ascii="Arial" w:hAnsi="Arial"/>
          <w:color w:val="000000"/>
          <w:sz w:val="20"/>
          <w:szCs w:val="20"/>
          <w:lang w:val="pt-BR"/>
        </w:rPr>
        <w:t xml:space="preserve"> a contar da data de sua apresentação.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highlight w:val="white"/>
          <w:lang w:val="pt-BR"/>
        </w:rPr>
        <w:t>Os licitantes devem respeitar os preços máximos estabelecidos nas normas de regência de contratações públicas federais, quando participarem de licitações públicas;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highlight w:val="white"/>
          <w:lang w:val="pt-BR"/>
        </w:rPr>
        <w:t>Caso o critério de julgamento seja o de menor preço, os licitantes devem respeitar os preços máximos previstos no Termo de Referência/Projeto Básico.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highlight w:val="white"/>
          <w:lang w:val="pt-BR"/>
        </w:rPr>
        <w:t xml:space="preserve">Caso o critério de julgamento seja o de maior desconto, o preço já decorrente da aplicação do desconto ofertado deverá respeitar os preços máximos previstos </w:t>
      </w:r>
      <w:r>
        <w:rPr>
          <w:rFonts w:eastAsia="Arial" w:cs="Arial" w:ascii="Arial" w:hAnsi="Arial"/>
          <w:color w:val="000000"/>
          <w:sz w:val="20"/>
          <w:szCs w:val="20"/>
          <w:lang w:val="pt-BR"/>
        </w:rPr>
        <w:t>nos anexos do certame.</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17">
        <w:r>
          <w:rPr>
            <w:rStyle w:val="Style3"/>
            <w:rFonts w:eastAsia="Arial" w:cs="Arial" w:ascii="Arial" w:hAnsi="Arial"/>
            <w:color w:val="0000FF"/>
            <w:sz w:val="20"/>
            <w:szCs w:val="20"/>
            <w:u w:val="single"/>
            <w:lang w:val="pt-BR"/>
          </w:rPr>
          <w:t>art. 71, inciso IX, da Constituição</w:t>
        </w:r>
      </w:hyperlink>
      <w:r>
        <w:rPr>
          <w:rFonts w:eastAsia="Arial" w:cs="Arial" w:ascii="Arial" w:hAnsi="Arial"/>
          <w:color w:val="000000"/>
          <w:sz w:val="20"/>
          <w:szCs w:val="20"/>
          <w:lang w:val="pt-BR"/>
        </w:rPr>
        <w:t>; ou condenação dos agentes públicos responsáveis e da empresa contratada ao pagamento dos prejuízos ao erário, caso verificada a ocorrência de superfaturamento por sobrepreço na execução do contrato.</w:t>
      </w:r>
    </w:p>
    <w:p>
      <w:pPr>
        <w:pStyle w:val="normal1"/>
        <w:spacing w:lineRule="auto" w:line="312" w:before="288" w:after="288"/>
        <w:ind w:hanging="0" w:start="567"/>
        <w:jc w:val="both"/>
        <w:rPr>
          <w:rFonts w:ascii="Arial" w:hAnsi="Arial" w:eastAsia="Arial" w:cs="Arial"/>
          <w:color w:val="000000"/>
          <w:sz w:val="20"/>
          <w:szCs w:val="20"/>
          <w:lang w:val="pt-BR"/>
        </w:rPr>
      </w:pPr>
      <w:r>
        <w:rPr>
          <w:rFonts w:eastAsia="Arial" w:cs="Arial" w:ascii="Arial" w:hAnsi="Arial"/>
          <w:color w:val="000000"/>
          <w:sz w:val="20"/>
          <w:szCs w:val="20"/>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21" w:name="_heading=h.psr3p7a9wr3p"/>
      <w:bookmarkEnd w:id="21"/>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ABERTURA DA SESSÃO, CLASSIFICAÇÃO DAS PROPOSTAS E FORMULAÇÃO DE LANCES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abertura da presente licitação dar-se-á automaticamente em sessão pública, por meio de sistema eletrônico, na data, horário e local indicados neste Edital.</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licitantes poderão alterar o cadastro de seus valores iniciais até a abertura da sessão pública.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sistema disponibilizará campo próprio para troca de mensagens entre o Pregoeiro e os licitantes.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Iniciada a etapa competitiva, os licitantes deverão encaminhar lances exclusivamente por meio de sistema eletrônico, sendo imediatamente informados do seu recebimento e do valor consignado no registro. </w:t>
      </w:r>
    </w:p>
    <w:p>
      <w:pPr>
        <w:pStyle w:val="normal1"/>
        <w:numPr>
          <w:ilvl w:val="1"/>
          <w:numId w:val="1"/>
        </w:numPr>
        <w:spacing w:lineRule="auto" w:line="312" w:before="288" w:after="288"/>
        <w:ind w:firstLine="567" w:start="0"/>
        <w:jc w:val="both"/>
        <w:rPr>
          <w:lang w:val="pt-BR"/>
        </w:rPr>
      </w:pPr>
      <w:r>
        <w:rPr>
          <w:rFonts w:eastAsia="Arial" w:cs="Arial" w:ascii="Arial" w:hAnsi="Arial"/>
          <w:b/>
          <w:bCs/>
          <w:color w:val="000000"/>
          <w:sz w:val="20"/>
          <w:szCs w:val="20"/>
          <w:lang w:val="pt-BR"/>
        </w:rPr>
        <w:t>O lance deverá ser ofertado pelo valor unitário do item.</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licitantes poderão oferecer lances sucessivos, observando o horário fixado para abertura da sessão e as regras estabelecidas no Edital.</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 licitante somente poderá oferecer lance de valor inferior ou percentual de desconto superior ao último por ele ofertado e registrado pelo sistema.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 intervalo mínimo de diferença de valores entre os lances, que incidirá tanto em relação aos lances intermediários quanto em relação à proposta que cobrir a melhor </w:t>
      </w:r>
      <w:r>
        <w:rPr>
          <w:rFonts w:eastAsia="Arial" w:cs="Arial" w:ascii="Arial" w:hAnsi="Arial"/>
          <w:sz w:val="20"/>
          <w:szCs w:val="20"/>
          <w:lang w:val="pt-BR"/>
        </w:rPr>
        <w:t>oferta, deverá</w:t>
      </w:r>
      <w:r>
        <w:rPr>
          <w:rFonts w:eastAsia="Arial" w:cs="Arial" w:ascii="Arial" w:hAnsi="Arial"/>
          <w:b/>
          <w:bCs/>
          <w:color w:val="4F6228"/>
          <w:sz w:val="20"/>
          <w:szCs w:val="20"/>
          <w:lang w:val="pt-BR"/>
        </w:rPr>
        <w:t xml:space="preserve"> </w:t>
      </w:r>
      <w:r>
        <w:rPr>
          <w:rFonts w:eastAsia="Arial" w:cs="Arial" w:ascii="Arial" w:hAnsi="Arial"/>
          <w:b/>
          <w:bCs/>
          <w:color w:val="4F6228"/>
          <w:sz w:val="20"/>
          <w:szCs w:val="20"/>
          <w:highlight w:val="white"/>
          <w:lang w:val="pt-BR"/>
        </w:rPr>
        <w:t>s</w:t>
      </w:r>
      <w:r>
        <w:rPr>
          <w:rFonts w:eastAsia="Arial" w:cs="Arial" w:ascii="Arial" w:hAnsi="Arial"/>
          <w:b/>
          <w:bCs/>
          <w:sz w:val="20"/>
          <w:szCs w:val="20"/>
          <w:highlight w:val="white"/>
          <w:lang w:val="pt-BR"/>
        </w:rPr>
        <w:t>er conforme Anexo I-A deste Edital.</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licitante poderá, uma única vez, excluir seu último lance ofertado, no intervalo de quinze segundos após o registro no sistema, na hipótese de lance inconsistente ou inexequível.</w:t>
      </w:r>
    </w:p>
    <w:p>
      <w:pPr>
        <w:pStyle w:val="normal1"/>
        <w:numPr>
          <w:ilvl w:val="1"/>
          <w:numId w:val="1"/>
        </w:numPr>
        <w:spacing w:lineRule="auto" w:line="312" w:before="288" w:after="288"/>
        <w:ind w:firstLine="567" w:start="0"/>
        <w:jc w:val="both"/>
        <w:rPr>
          <w:lang w:val="pt-BR"/>
        </w:rPr>
      </w:pPr>
      <w:bookmarkStart w:id="22" w:name="_heading=h.2xcytpi"/>
      <w:bookmarkEnd w:id="22"/>
      <w:r>
        <w:rPr>
          <w:rFonts w:eastAsia="Arial" w:cs="Arial" w:ascii="Arial" w:hAnsi="Arial"/>
          <w:color w:val="000000"/>
          <w:sz w:val="20"/>
          <w:szCs w:val="20"/>
          <w:lang w:val="pt-BR"/>
        </w:rPr>
        <w:t>O procedimento seguirá de acordo com o modo de disputa adotado</w:t>
      </w:r>
      <w:r>
        <w:rPr>
          <w:rFonts w:eastAsia="Arial" w:cs="Arial" w:ascii="Arial" w:hAnsi="Arial"/>
          <w:b/>
          <w:bCs/>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Caso seja adotado para o envio de lances na licitação o modo de disputa “aberto”, os licitantes apresentarão lances públicos e sucessivos, com prorrogações.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etapa de lances da sessão pública terá duração de dez minutos e, após isso, será prorrogada automaticamente pelo sistema quando houver lance ofertado nos últimos dois minutos do período de duração da sessão pública.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prorrogação automática da etapa de lances, de que trata o subitem anterior, será de dois minutos e ocorrerá sucessivamente sempre que houver lances enviados nesse período de prorrogação, inclusive no caso de lances intermediários.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Não havendo novos lances na forma estabelecida nos itens anteriores, a sessão pública encerrar-se-á automaticamente, e o sistema ordenará e divulgará os lances conforme a ordem de classificação, sem prejuízo da aplicação da margem de preferência e do desempate ficto, conforme disposto neste edital, quando for o caso.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Definida a melhor proposta, se a diferença em relação à proposta classificada em segundo lugar for de pelo menos 5% (cinco por cento), o Pregoeiro/Agente de Contratação/Comissão, auxiliado pela equipe de apoio, poderá admitir o reinício da disputa aberta, para a definição das demais colocações.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Após o reinício previsto no item supra, os licitantes serão convocados para apresentar lances intermediários.</w:t>
      </w:r>
    </w:p>
    <w:p>
      <w:pPr>
        <w:pStyle w:val="normal1"/>
        <w:numPr>
          <w:ilvl w:val="1"/>
          <w:numId w:val="1"/>
        </w:numPr>
        <w:spacing w:lineRule="auto" w:line="312" w:before="288" w:after="288"/>
        <w:ind w:firstLine="567" w:start="0"/>
        <w:jc w:val="both"/>
        <w:rPr>
          <w:lang w:val="pt-BR"/>
        </w:rPr>
      </w:pPr>
      <w:bookmarkStart w:id="23" w:name="_heading=h.1ci93xb"/>
      <w:bookmarkEnd w:id="23"/>
      <w:r>
        <w:rPr>
          <w:rFonts w:eastAsia="Arial" w:cs="Arial" w:ascii="Arial" w:hAnsi="Arial"/>
          <w:color w:val="000000"/>
          <w:sz w:val="20"/>
          <w:szCs w:val="20"/>
          <w:lang w:val="pt-BR"/>
        </w:rPr>
        <w:t>Após o término dos prazos estabelecidos nos subitens anteriores, o sistema ordenará e divulgará os lances segundo a ordem crescente de valores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Não serão aceitos dois ou mais lances de mesmo valor, prevalecendo aquele que for recebido e registrado em primeiro lugar.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Durante o transcurso da sessão pública, os licitantes serão informados, em tempo real, do valor do menor lance registrado, vedada a identificação do licitante.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No caso de desconexão com o Pregoeiro, no decorrer da etapa competitiva do Pregão, o sistema eletrônico poderá permanecer acessível aos licitantes para a recepção dos lances.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Caso o licitante não apresente lances, concorrerá com o valor de sua proposta.</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 xml:space="preserve"> </w:t>
      </w:r>
      <w:r>
        <w:rPr>
          <w:rFonts w:eastAsia="Arial" w:cs="Arial" w:ascii="Arial" w:hAnsi="Arial"/>
          <w:sz w:val="20"/>
          <w:szCs w:val="20"/>
          <w:lang w:val="pt-BR"/>
        </w:rPr>
        <w:t>Ao final da fase de lances, será aplicado o benefício da margem de preferência, nos termos do art. 26 da Lei 14133/21.</w:t>
      </w:r>
    </w:p>
    <w:p>
      <w:pPr>
        <w:pStyle w:val="normal1"/>
        <w:numPr>
          <w:ilvl w:val="2"/>
          <w:numId w:val="1"/>
        </w:numPr>
        <w:spacing w:lineRule="auto" w:line="360" w:before="120" w:after="120"/>
        <w:ind w:hanging="503" w:start="3198"/>
        <w:jc w:val="both"/>
        <w:rPr>
          <w:lang w:val="pt-BR"/>
        </w:rPr>
      </w:pPr>
      <w:r>
        <w:rPr>
          <w:rFonts w:eastAsia="Arial" w:cs="Arial" w:ascii="Arial" w:hAnsi="Arial"/>
          <w:sz w:val="20"/>
          <w:szCs w:val="20"/>
          <w:lang w:val="pt-BR"/>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pPr>
        <w:pStyle w:val="normal1"/>
        <w:numPr>
          <w:ilvl w:val="2"/>
          <w:numId w:val="1"/>
        </w:numPr>
        <w:spacing w:lineRule="auto" w:line="360" w:before="120" w:after="120"/>
        <w:ind w:hanging="503" w:start="3198"/>
        <w:jc w:val="both"/>
        <w:rPr>
          <w:lang w:val="pt-BR"/>
        </w:rPr>
      </w:pPr>
      <w:r>
        <w:rPr>
          <w:rFonts w:eastAsia="Arial" w:cs="Arial" w:ascii="Arial" w:hAnsi="Arial"/>
          <w:sz w:val="20"/>
          <w:szCs w:val="20"/>
          <w:lang w:val="pt-BR"/>
        </w:rPr>
        <w:t>Nestas situações, a proposta beneficiada pela aplicação da margem de preferência normal ou adicional, conforme o caso, tornar-se-á a proposta classificada em primeiro lugar.</w:t>
      </w:r>
    </w:p>
    <w:p>
      <w:pPr>
        <w:pStyle w:val="normal1"/>
        <w:numPr>
          <w:ilvl w:val="1"/>
          <w:numId w:val="1"/>
        </w:numPr>
        <w:spacing w:lineRule="auto" w:line="312" w:before="288" w:after="288"/>
        <w:ind w:firstLine="567" w:start="0"/>
        <w:jc w:val="both"/>
        <w:rPr/>
      </w:pPr>
      <w:r>
        <w:rPr>
          <w:rFonts w:eastAsia="Arial" w:cs="Arial" w:ascii="Arial" w:hAnsi="Arial"/>
          <w:sz w:val="20"/>
          <w:szCs w:val="20"/>
          <w:lang w:val="pt-BR"/>
        </w:rPr>
        <w:t xml:space="preserve">Em relação a itens não exclusivos para participação de microempresas e empresas de pequeno porte, uma vez encerrada a etapa de lances, será efetivada a verificação automática, junto à Receita Federal, do porte da entidade empresarial, caso a contratação não se enquadre nas vedações dos §§1º e 2º do art. 4º da Lei nº 14.133, de 2021.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r>
        <w:fldChar w:fldCharType="begin"/>
      </w:r>
      <w:r>
        <w:rPr>
          <w:rStyle w:val="Style3"/>
          <w:rFonts w:eastAsia="Arial" w:cs="Arial" w:ascii="Arial" w:hAnsi="Arial"/>
          <w:color w:val="0000FF"/>
          <w:sz w:val="20"/>
          <w:szCs w:val="20"/>
          <w:u w:val="single"/>
          <w:lang w:val="pt-BR"/>
        </w:rPr>
        <w:instrText xml:space="preserve"> HYPERLINK "https://www.planalto.gov.br/ccivil_03/leis/lcp/lcp123.htm" \l "art44"</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arts. 44 e 45 da Lei Complementar nº 123, de 2006</w:t>
      </w:r>
      <w:r>
        <w:rPr>
          <w:rStyle w:val="Style3"/>
          <w:rFonts w:eastAsia="Arial" w:cs="Arial" w:ascii="Arial" w:hAnsi="Arial"/>
          <w:color w:val="0000FF"/>
          <w:sz w:val="20"/>
          <w:szCs w:val="20"/>
          <w:u w:val="single"/>
          <w:lang w:val="pt-BR"/>
        </w:rPr>
        <w:fldChar w:fldCharType="end"/>
      </w:r>
      <w:r>
        <w:rPr>
          <w:rFonts w:eastAsia="Arial" w:cs="Arial" w:ascii="Arial" w:hAnsi="Arial"/>
          <w:sz w:val="20"/>
          <w:szCs w:val="20"/>
          <w:lang w:val="pt-BR"/>
        </w:rPr>
        <w:t xml:space="preserve">, regulamentada pelo </w:t>
      </w:r>
      <w:hyperlink r:id="rId18">
        <w:r>
          <w:rPr>
            <w:rStyle w:val="Style3"/>
            <w:rFonts w:eastAsia="Arial" w:cs="Arial" w:ascii="Arial" w:hAnsi="Arial"/>
            <w:color w:val="0000FF"/>
            <w:sz w:val="20"/>
            <w:szCs w:val="20"/>
            <w:u w:val="single"/>
            <w:lang w:val="pt-BR"/>
          </w:rPr>
          <w:t>Decreto nº 8.538, de 2015</w:t>
        </w:r>
      </w:hyperlink>
      <w:r>
        <w:rPr>
          <w:rFonts w:eastAsia="Arial" w:cs="Arial" w:ascii="Arial" w:hAnsi="Arial"/>
          <w:lang w:val="pt-BR"/>
        </w:rPr>
        <w:t>.</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r>
        <w:rPr>
          <w:lang w:val="pt-BR"/>
        </w:rPr>
        <w:t>.</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O parâmetro para o empate ficto, nesse caso, consistirá no preço ofertado pela fornecedora classificada em primeiro lugar em razão da aplicação da margem de preferência</w:t>
      </w:r>
      <w:r>
        <w:rPr>
          <w:lang w:val="pt-BR"/>
        </w:rPr>
        <w:t>.</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Nessas condições, as propostas de microempresas e empresas de pequeno porte que se encontrarem na faixa de até 5% (cinco por cento) acima da melhor proposta ou melhor lance serão consideradas empatadas com a primeira colocada.</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Pr>
          <w:rFonts w:eastAsia="Arial" w:cs="Arial" w:ascii="Arial" w:hAnsi="Arial"/>
          <w:color w:val="000000"/>
          <w:sz w:val="20"/>
          <w:szCs w:val="20"/>
          <w:lang w:val="pt-BR"/>
        </w:rPr>
        <w:t>.</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Só poderá haver empate entre propostas iguais (não seguidas de lances), ou entre lances finais da fase fechada do modo de disputa aberto e fechado. </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Havendo eventual empate entre propostas ou lances, o critério de desempate será aquele previsto no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"art60"</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w:t>
      </w:r>
      <w:r>
        <w:rPr>
          <w:rStyle w:val="Style3"/>
          <w:rFonts w:eastAsia="Arial" w:cs="Arial" w:ascii="Arial" w:hAnsi="Arial"/>
          <w:color w:val="0000FF"/>
          <w:sz w:val="20"/>
          <w:szCs w:val="20"/>
          <w:u w:val="single"/>
          <w:lang w:val="pt-BR"/>
        </w:rPr>
        <w:fldChar w:fldCharType="end"/>
      </w:r>
      <w:r>
        <w:rPr>
          <w:rFonts w:eastAsia="Arial" w:cs="Arial" w:ascii="Arial" w:hAnsi="Arial"/>
          <w:color w:val="0000FF"/>
          <w:sz w:val="20"/>
          <w:szCs w:val="20"/>
          <w:u w:val="single"/>
          <w:lang w:val="pt-BR"/>
        </w:rPr>
        <w:t>. 60 da Lei nº 14.133, de 2021</w:t>
      </w:r>
      <w:r>
        <w:rPr>
          <w:rFonts w:eastAsia="Arial" w:cs="Arial" w:ascii="Arial" w:hAnsi="Arial"/>
          <w:color w:val="000000"/>
          <w:sz w:val="20"/>
          <w:szCs w:val="20"/>
          <w:lang w:val="pt-BR"/>
        </w:rPr>
        <w:t>, nesta ordem:</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disputa final, hipótese em que os licitantes empatados poderão apresentar nova proposta em ato contínuo à classificação;</w:t>
      </w:r>
    </w:p>
    <w:p>
      <w:pPr>
        <w:pStyle w:val="normal1"/>
        <w:keepNext w:val="false"/>
        <w:keepLines w:val="false"/>
        <w:pageBreakBefore w:val="false"/>
        <w:widowControl/>
        <w:numPr>
          <w:ilvl w:val="2"/>
          <w:numId w:val="1"/>
        </w:numPr>
        <w:shd w:val="clear" w:fill="auto"/>
        <w:spacing w:lineRule="auto" w:line="276" w:before="120" w:after="120"/>
        <w:ind w:firstLine="567" w:start="567"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desenvolvimento pelo licitante de ações de equidade entre homens e mulheres no ambiente de trabalho, nos termos do Decreto nº 11.430, de 2023, e da Instrução Normativa SEGES/MGI nº 382, de 17 de setembro de 2025;</w:t>
      </w:r>
    </w:p>
    <w:p>
      <w:pPr>
        <w:pStyle w:val="normal1"/>
        <w:keepNext w:val="false"/>
        <w:keepLines w:val="false"/>
        <w:pageBreakBefore w:val="false"/>
        <w:widowControl/>
        <w:numPr>
          <w:ilvl w:val="2"/>
          <w:numId w:val="1"/>
        </w:numPr>
        <w:shd w:val="clear" w:fill="auto"/>
        <w:spacing w:lineRule="auto" w:line="276" w:before="120" w:after="120"/>
        <w:ind w:firstLine="567" w:start="567"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declaração do licitante de que desenvolve programa de integridade, conforme Decreto n° 12.304, de 2024, e Portaria Normativa SE/CGU n° 226, de 9 de setembro de 2025.</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Persistindo o empate, será assegurada preferência, sucessivamente, aos bens e serviços produzidos ou prestados por:</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empresas brasileiras;</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empresas que invistam em pesquisa e no desenvolvimento de tecnologia no País;</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empresas que comprovem a prática de mitigação, nos termos da Lei nº 12.187, de 29 de dezembro de 2009.</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Esgotados todos os demais critérios de desempate previstos em lei, a escolha do licitante vencedor ocorrerá por sorteio, em ato público, para o qual todos os licitantes serão convocados, vedado qualquer outro processo.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highlight w:val="white"/>
          <w:lang w:val="pt-BR"/>
        </w:rPr>
        <w:t>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negociação será realizada por meio do sistema, podendo ser acompanhada pelos demais licitantes.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O resultado da negociação será divulgado a todos os licitantes e anexado aos autos do processo licitatório</w:t>
      </w:r>
    </w:p>
    <w:p>
      <w:pPr>
        <w:pStyle w:val="normal1"/>
        <w:numPr>
          <w:ilvl w:val="2"/>
          <w:numId w:val="1"/>
        </w:numPr>
        <w:spacing w:lineRule="auto" w:line="360" w:before="120" w:after="120"/>
        <w:ind w:firstLine="567" w:start="567"/>
        <w:jc w:val="both"/>
        <w:rPr>
          <w:lang w:val="pt-BR"/>
        </w:rPr>
      </w:pPr>
      <w:bookmarkStart w:id="24" w:name="_heading=h.1pxezwc"/>
      <w:bookmarkEnd w:id="24"/>
      <w:r>
        <w:rPr>
          <w:rFonts w:eastAsia="Arial" w:cs="Arial" w:ascii="Arial" w:hAnsi="Arial"/>
          <w:color w:val="000000"/>
          <w:sz w:val="20"/>
          <w:szCs w:val="20"/>
          <w:lang w:val="pt-BR"/>
        </w:rPr>
        <w:t xml:space="preserve">O pregoeiro solicitará ao licitante mais bem classificado que, no prazo de </w:t>
      </w:r>
      <w:r>
        <w:rPr>
          <w:rFonts w:eastAsia="Arial" w:cs="Arial" w:ascii="Arial" w:hAnsi="Arial"/>
          <w:b/>
          <w:bCs/>
          <w:color w:val="002060"/>
          <w:sz w:val="20"/>
          <w:szCs w:val="20"/>
          <w:lang w:val="pt-BR"/>
        </w:rPr>
        <w:t>2 (duas) horas</w:t>
      </w:r>
      <w:r>
        <w:rPr>
          <w:rFonts w:eastAsia="Arial" w:cs="Arial" w:ascii="Arial" w:hAnsi="Arial"/>
          <w:color w:val="000000"/>
          <w:sz w:val="20"/>
          <w:szCs w:val="20"/>
          <w:lang w:val="pt-BR"/>
        </w:rPr>
        <w:t>, ou conforme descrito no chat, envie a proposta adequada ao último lance ofertado após a negociação realizada, acompanhada, se for o caso, dos documentos complementares, quando necessários à confirmação daqueles exigidos neste Edital e já apresentados.</w:t>
      </w:r>
    </w:p>
    <w:p>
      <w:pPr>
        <w:pStyle w:val="normal1"/>
        <w:numPr>
          <w:ilvl w:val="2"/>
          <w:numId w:val="1"/>
        </w:numPr>
        <w:spacing w:lineRule="auto" w:line="360" w:before="120" w:after="120"/>
        <w:ind w:firstLine="567" w:start="567"/>
        <w:jc w:val="both"/>
        <w:rPr/>
      </w:pPr>
      <w:bookmarkStart w:id="25" w:name="_heading=h.49x2ik5"/>
      <w:bookmarkEnd w:id="25"/>
      <w:r>
        <w:rPr>
          <w:rFonts w:eastAsia="Arial" w:cs="Arial" w:ascii="Arial" w:hAnsi="Arial"/>
          <w:color w:val="000000"/>
          <w:sz w:val="20"/>
          <w:szCs w:val="20"/>
          <w:lang w:val="pt-BR"/>
        </w:rPr>
        <w:t xml:space="preserve">É facultado ao pregoeiro prorrogar o prazo estabelecido, a partir de solicitação fundamentada feita no chat pelo licitante, </w:t>
      </w:r>
      <w:r>
        <w:rPr>
          <w:rFonts w:eastAsia="Arial" w:cs="Arial" w:ascii="Arial" w:hAnsi="Arial"/>
          <w:b/>
          <w:bCs/>
          <w:sz w:val="20"/>
          <w:szCs w:val="20"/>
          <w:lang w:val="pt-BR"/>
        </w:rPr>
        <w:t xml:space="preserve">ou através de solicitação e justificativa encaminhados para o e-mail – </w:t>
      </w:r>
      <w:hyperlink r:id="rId19">
        <w:r>
          <w:rPr>
            <w:rStyle w:val="Style3"/>
            <w:rFonts w:eastAsia="Arial" w:cs="Arial" w:ascii="Arial" w:hAnsi="Arial"/>
            <w:b/>
            <w:bCs/>
            <w:sz w:val="20"/>
            <w:szCs w:val="20"/>
            <w:u w:val="single"/>
            <w:lang w:val="pt-BR"/>
          </w:rPr>
          <w:t>cpl@id.uff.br</w:t>
        </w:r>
      </w:hyperlink>
      <w:r>
        <w:rPr>
          <w:rFonts w:eastAsia="Arial" w:cs="Arial" w:ascii="Arial" w:hAnsi="Arial"/>
          <w:b/>
          <w:bCs/>
          <w:sz w:val="20"/>
          <w:szCs w:val="20"/>
          <w:lang w:val="pt-BR"/>
        </w:rPr>
        <w:t>, antes de findo o prazo.</w:t>
      </w:r>
    </w:p>
    <w:p>
      <w:pPr>
        <w:pStyle w:val="normal1"/>
        <w:spacing w:lineRule="auto" w:line="360" w:before="120" w:after="120"/>
        <w:jc w:val="both"/>
        <w:rPr>
          <w:rFonts w:ascii="Arial" w:hAnsi="Arial" w:eastAsia="Arial" w:cs="Arial"/>
          <w:b/>
          <w:bCs/>
          <w:color w:val="808080"/>
          <w:sz w:val="20"/>
          <w:szCs w:val="20"/>
          <w:lang w:val="pt-BR"/>
        </w:rPr>
      </w:pPr>
      <w:r>
        <w:rPr>
          <w:rFonts w:eastAsia="Arial" w:cs="Arial" w:ascii="Arial" w:hAnsi="Arial"/>
          <w:b/>
          <w:bCs/>
          <w:color w:val="808080"/>
          <w:sz w:val="20"/>
          <w:szCs w:val="20"/>
          <w:lang w:val="pt-BR"/>
        </w:rPr>
      </w:r>
    </w:p>
    <w:p>
      <w:pPr>
        <w:pStyle w:val="normal1"/>
        <w:numPr>
          <w:ilvl w:val="1"/>
          <w:numId w:val="1"/>
        </w:numPr>
        <w:spacing w:lineRule="auto" w:line="360" w:before="120" w:after="120"/>
        <w:ind w:firstLine="567" w:start="0"/>
        <w:jc w:val="both"/>
        <w:rPr>
          <w:lang w:val="pt-BR"/>
        </w:rPr>
      </w:pPr>
      <w:r>
        <w:rPr>
          <w:rFonts w:eastAsia="Arial" w:cs="Arial" w:ascii="Arial" w:hAnsi="Arial"/>
          <w:color w:val="000000"/>
          <w:sz w:val="20"/>
          <w:szCs w:val="20"/>
          <w:lang w:val="pt-BR"/>
        </w:rPr>
        <w:t>Após a negociação do preço, o Pregoeiro iniciará a fase de aceitação e julgamento da proposta.</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26" w:name="_heading=h.paft5t81x9ty"/>
      <w:bookmarkEnd w:id="26"/>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FASE DE JULGAMENTO</w:t>
      </w:r>
    </w:p>
    <w:p>
      <w:pPr>
        <w:pStyle w:val="normal1"/>
        <w:numPr>
          <w:ilvl w:val="1"/>
          <w:numId w:val="1"/>
        </w:numPr>
        <w:spacing w:lineRule="auto" w:line="312" w:before="288" w:after="288"/>
        <w:ind w:firstLine="567" w:start="0"/>
        <w:jc w:val="both"/>
        <w:rPr/>
      </w:pPr>
      <w:bookmarkStart w:id="27" w:name="_heading=h.147n2zr"/>
      <w:bookmarkEnd w:id="27"/>
      <w:r>
        <w:rPr>
          <w:rFonts w:eastAsia="Arial" w:cs="Arial" w:ascii="Arial" w:hAnsi="Arial"/>
          <w:color w:val="000000"/>
          <w:sz w:val="20"/>
          <w:szCs w:val="20"/>
          <w:lang w:val="pt-BR"/>
        </w:rPr>
        <w:t xml:space="preserve">Encerrada a etapa de negociação, o pregoeiro verificará se o licitante provisoriamente classificado em primeiro lugar atende às condições de participação no certame, conforme previsto no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"art14"</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 14 da Lei nº 14.133/2021</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 legislação correlata e no</w:t>
      </w:r>
      <w:r>
        <w:rPr>
          <w:rFonts w:eastAsia="Arial" w:cs="Arial" w:ascii="Arial" w:hAnsi="Arial"/>
          <w:color w:val="FF0000"/>
          <w:sz w:val="20"/>
          <w:szCs w:val="20"/>
          <w:shd w:fill="auto" w:val="clear"/>
          <w:lang w:val="pt-BR"/>
        </w:rPr>
        <w:t xml:space="preserve"> </w:t>
      </w:r>
      <w:r>
        <w:rPr>
          <w:rFonts w:eastAsia="Arial" w:cs="Arial" w:ascii="Arial" w:hAnsi="Arial"/>
          <w:color w:val="000000"/>
          <w:sz w:val="20"/>
          <w:szCs w:val="20"/>
          <w:shd w:fill="auto" w:val="clear"/>
          <w:lang w:val="pt-BR"/>
        </w:rPr>
        <w:t xml:space="preserve">item 2.6 </w:t>
      </w:r>
      <w:r>
        <w:rPr>
          <w:rFonts w:eastAsia="Arial" w:cs="Arial" w:ascii="Arial" w:hAnsi="Arial"/>
          <w:color w:val="000000"/>
          <w:sz w:val="20"/>
          <w:szCs w:val="20"/>
          <w:lang w:val="pt-BR"/>
        </w:rPr>
        <w:t>do edital, especialmente quanto à existência de sanção que impeça a participação no certame ou a futura contratação, mediante a consulta aos seguintes cadastros: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 xml:space="preserve">SICAF;  </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Cadastro Nacional de Empresas Inidôneas e Suspensas – CEIS;</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Cadastro Nacional de Empresas Punidas – CNEP e</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Lista de licitantes inidôneos, mantida pelo Tribunal de Contas da União.</w:t>
      </w:r>
    </w:p>
    <w:p>
      <w:pPr>
        <w:pStyle w:val="normal1"/>
        <w:numPr>
          <w:ilvl w:val="1"/>
          <w:numId w:val="1"/>
        </w:numPr>
        <w:spacing w:lineRule="auto" w:line="312" w:before="288" w:after="288"/>
        <w:ind w:firstLine="567" w:start="0"/>
        <w:jc w:val="both"/>
        <w:rPr>
          <w:lang w:val="pt-BR"/>
        </w:rPr>
      </w:pPr>
      <w:bookmarkStart w:id="28" w:name="_heading=h.wti6hxboh8mb"/>
      <w:bookmarkEnd w:id="28"/>
      <w:r>
        <w:rPr>
          <w:rFonts w:eastAsia="Arial" w:cs="Arial" w:ascii="Arial" w:hAnsi="Arial"/>
          <w:sz w:val="20"/>
          <w:szCs w:val="20"/>
          <w:lang w:val="pt-BR"/>
        </w:rPr>
        <w:t>A consulta aos cadastros será realizada no nome e no CNPJ da empresa licitante.</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highlight w:val="white"/>
          <w:lang w:val="pt-BR"/>
        </w:rPr>
        <w:t>A consulta no CEIS quanto às sanções previstas na Lei nº 8.429, de1992, também ocorrerá no nome e no CPF do sócio majoritário da empresa licitante, se houver, por força do art. 12 da citada lei.</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Para a consulta de licitantes pessoa jurídica poderá haver a substituição das consultas ao CEIS, CNEP e Lista de licitantes inIdôneos pela Consulta Consolidada de Pessoa Jurídica do TCU.</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Caso conste na Consulta de Situação do licitante a existência de Ocorrências Impeditivas Indiretas, o Pregoeiro diligenciará para verificar se houve fraude por parte das empresas apontadas no Relatório de Ocorrências Impeditivas Indiretas.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 xml:space="preserve">A tentativa de burla será verificada por meio dos vínculos societários, linhas de fornecimento similares, dentre outros. </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O licitante será convocado para manifestação previamente a uma eventual desclassificação.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Constatada a existência de sanção, o licitante será reputado inabilitado, por falta de condição de participação.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Caso atendidas as condições de participação, será iniciado o procedimento de habilitação.</w:t>
      </w:r>
    </w:p>
    <w:p>
      <w:pPr>
        <w:pStyle w:val="normal1"/>
        <w:numPr>
          <w:ilvl w:val="1"/>
          <w:numId w:val="1"/>
        </w:numPr>
        <w:spacing w:lineRule="auto" w:line="312" w:before="288" w:after="288"/>
        <w:ind w:firstLine="567" w:start="0"/>
        <w:jc w:val="both"/>
        <w:rPr>
          <w:lang w:val="pt-BR"/>
        </w:rPr>
      </w:pPr>
      <w:r>
        <w:rPr>
          <w:rFonts w:eastAsia="Arial" w:cs="Arial" w:ascii="Arial" w:hAnsi="Arial"/>
          <w:b/>
          <w:bCs/>
          <w:color w:val="000000"/>
          <w:sz w:val="20"/>
          <w:szCs w:val="20"/>
          <w:lang w:val="pt-BR"/>
        </w:rPr>
        <w:t xml:space="preserve">Caso o licitante provisoriamente classificado em primeiro lugar tenha se utilizado de algum tratamento favorecido às ME/EPPs, </w:t>
      </w:r>
      <w:r>
        <w:rPr>
          <w:rFonts w:eastAsia="Arial" w:cs="Arial" w:ascii="Arial" w:hAnsi="Arial"/>
          <w:b/>
          <w:bCs/>
          <w:sz w:val="20"/>
          <w:szCs w:val="20"/>
          <w:lang w:val="pt-BR"/>
        </w:rPr>
        <w:t xml:space="preserve">ou tenha se valido da aplicação da margem de preferência, </w:t>
      </w:r>
      <w:r>
        <w:rPr>
          <w:rFonts w:eastAsia="Arial" w:cs="Arial" w:ascii="Arial" w:hAnsi="Arial"/>
          <w:b/>
          <w:bCs/>
          <w:color w:val="000000"/>
          <w:sz w:val="20"/>
          <w:szCs w:val="20"/>
          <w:lang w:val="pt-BR"/>
        </w:rPr>
        <w:t xml:space="preserve"> o pregoeiro verificará se faz jus ao benefício</w:t>
      </w:r>
      <w:r>
        <w:rPr>
          <w:rFonts w:eastAsia="Arial" w:cs="Arial" w:ascii="Arial" w:hAnsi="Arial"/>
          <w:b/>
          <w:bCs/>
          <w:sz w:val="20"/>
          <w:szCs w:val="20"/>
          <w:lang w:val="pt-BR"/>
        </w:rPr>
        <w:t xml:space="preserve"> aplicado.</w:t>
      </w:r>
    </w:p>
    <w:p>
      <w:pPr>
        <w:pStyle w:val="normal1"/>
        <w:numPr>
          <w:ilvl w:val="2"/>
          <w:numId w:val="1"/>
        </w:numPr>
        <w:spacing w:lineRule="auto" w:line="360" w:before="120" w:after="120"/>
        <w:ind w:firstLine="567" w:start="567"/>
        <w:jc w:val="both"/>
        <w:rPr>
          <w:lang w:val="pt-BR"/>
        </w:rPr>
      </w:pPr>
      <w:r>
        <w:rPr>
          <w:rFonts w:eastAsia="Arial" w:cs="Arial" w:ascii="Arial" w:hAnsi="Arial"/>
          <w:b/>
          <w:bCs/>
          <w:sz w:val="20"/>
          <w:szCs w:val="20"/>
          <w:lang w:val="pt-BR"/>
        </w:rPr>
        <w:t>Caso o licitante não venha a comprovar o atendimento dos requisitos para fazer jus ao benefício da margem de preferência, as propostas serão reclassificadas, para fins de nova aplicação da margem de preferência.</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Style3"/>
          <w:rFonts w:eastAsia="Arial" w:cs="Arial" w:ascii="Arial" w:hAnsi="Arial"/>
          <w:color w:val="0000FF"/>
          <w:sz w:val="20"/>
          <w:szCs w:val="20"/>
          <w:u w:val="single"/>
          <w:lang w:val="pt-BR"/>
        </w:rPr>
        <w:instrText xml:space="preserve"> HYPERLINK "https://www.gov.br/compras/pt-br/acesso-a-informacao/legislacao/instrucoes-normativas/instrucao-normativa-seges-me-no-73-de-30-de-setembro-de-2022" \l "art29"</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artigo 29 a 35 da IN SEGES nº 73, de 30 de setembro de 2022</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Será desclassificada a proposta vencedora que: </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contiver vícios insanáveis;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não obedecer às especificações técnicas contidas no Termo de Referência;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apresentar preços manifestamente inexequíveis ou permanecerem acima do preço máximo definido para a contratação;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não tiverem sua exequibilidade demonstrada, quando exigido pela Administração;</w:t>
      </w:r>
    </w:p>
    <w:p>
      <w:pPr>
        <w:pStyle w:val="normal1"/>
        <w:keepNext w:val="false"/>
        <w:keepLines w:val="false"/>
        <w:pageBreakBefore w:val="false"/>
        <w:widowControl/>
        <w:numPr>
          <w:ilvl w:val="2"/>
          <w:numId w:val="1"/>
        </w:numPr>
        <w:shd w:val="clear" w:fill="auto"/>
        <w:spacing w:lineRule="auto" w:line="276" w:before="120" w:after="120"/>
        <w:ind w:firstLine="567" w:start="567"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não cumpra os critérios de aceitabilidade de preços definidos no Termo de Referência;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apresentar desconformidade com quaisquer outras exigências deste Edital ou seus anexos, desde que insanável.</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No caso de bens e serviços em geral, é indício de inexequibilidade das propostas valores inferiores a 50% (cinquenta por cento) do valor orçado pela Administração.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inexequibilidade, na hipótese de que trata o item anterior, só será considerada após diligência do</w:t>
      </w:r>
      <w:r>
        <w:rPr>
          <w:lang w:val="pt-BR"/>
        </w:rPr>
        <w:t xml:space="preserve"> </w:t>
      </w:r>
      <w:r>
        <w:rPr>
          <w:rFonts w:eastAsia="Arial" w:cs="Arial" w:ascii="Arial" w:hAnsi="Arial"/>
          <w:color w:val="000000"/>
          <w:sz w:val="20"/>
          <w:szCs w:val="20"/>
          <w:lang w:val="pt-BR"/>
        </w:rPr>
        <w:t xml:space="preserve"> pregoeiro, que comprove:</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que o custo do licitante ultrapassa o valor da proposta; e</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inexistirem custos de oportunidade capazes de justificar o vulto da oferta.</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Se houver indícios de inexequibilidade da proposta de preço, ou em caso da necessidade de esclarecimentos complementares, poderão ser efetuadas diligências, para que o licitante comprove a exequibilidade da proposta.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Para fins de análise da proposta quanto ao cumprimento das especificações do objeto, poderá ser colhida a manifestação escrita do setor requisitante do serviço ou da área especializada no objeto.</w:t>
      </w:r>
    </w:p>
    <w:p>
      <w:pPr>
        <w:pStyle w:val="normal1"/>
        <w:spacing w:lineRule="auto" w:line="312" w:before="288" w:after="288"/>
        <w:ind w:hanging="0" w:start="0"/>
        <w:jc w:val="both"/>
        <w:rPr>
          <w:rFonts w:ascii="Arial" w:hAnsi="Arial" w:eastAsia="Arial" w:cs="Arial"/>
          <w:strike/>
          <w:sz w:val="20"/>
          <w:szCs w:val="20"/>
          <w:shd w:fill="auto" w:val="clear"/>
          <w:lang w:val="pt-BR"/>
        </w:rPr>
      </w:pPr>
      <w:r>
        <w:rPr>
          <w:rFonts w:eastAsia="Arial" w:cs="Arial" w:ascii="Arial" w:hAnsi="Arial"/>
          <w:strike/>
          <w:sz w:val="20"/>
          <w:szCs w:val="20"/>
          <w:shd w:fill="auto" w:val="clear"/>
          <w:lang w:val="pt-BR"/>
        </w:rPr>
      </w:r>
      <w:bookmarkStart w:id="29" w:name="_heading=h.2dc3zd5yhawd"/>
      <w:bookmarkStart w:id="30" w:name="_heading=h.2dc3zd5yhawd"/>
      <w:bookmarkEnd w:id="30"/>
    </w:p>
    <w:p>
      <w:pPr>
        <w:pStyle w:val="normal1"/>
        <w:keepNext w:val="false"/>
        <w:keepLines w:val="false"/>
        <w:pageBreakBefore w:val="false"/>
        <w:widowControl/>
        <w:shd w:val="clear" w:fill="auto"/>
        <w:spacing w:lineRule="auto" w:line="276" w:before="120" w:after="120"/>
        <w:ind w:hanging="0" w:start="1200" w:end="0"/>
        <w:jc w:val="both"/>
        <w:rPr>
          <w:rFonts w:ascii="Arial" w:hAnsi="Arial" w:eastAsia="Arial" w:cs="Arial"/>
          <w:b/>
          <w:bCs/>
          <w:i w:val="false"/>
          <w:iCs w:val="false"/>
          <w:caps w:val="false"/>
          <w:smallCaps w:val="false"/>
          <w:strike w:val="false"/>
          <w:dstrike w:val="false"/>
          <w:color w:val="595959"/>
          <w:position w:val="0"/>
          <w:sz w:val="20"/>
          <w:szCs w:val="20"/>
          <w:u w:val="none"/>
          <w:shd w:fill="auto" w:val="clear"/>
          <w:vertAlign w:val="baseline"/>
          <w:lang w:val="pt-BR"/>
        </w:rPr>
      </w:pPr>
      <w:r>
        <w:rPr>
          <w:rFonts w:eastAsia="Arial" w:cs="Arial" w:ascii="Arial" w:hAnsi="Arial"/>
          <w:b/>
          <w:bCs/>
          <w:i w:val="false"/>
          <w:iCs w:val="false"/>
          <w:caps w:val="false"/>
          <w:smallCaps w:val="false"/>
          <w:strike w:val="false"/>
          <w:dstrike w:val="false"/>
          <w:color w:val="595959"/>
          <w:position w:val="0"/>
          <w:sz w:val="20"/>
          <w:szCs w:val="20"/>
          <w:u w:val="none"/>
          <w:shd w:fill="auto" w:val="clear"/>
          <w:vertAlign w:val="baseline"/>
          <w:lang w:val="pt-BR"/>
        </w:rPr>
      </w:r>
    </w:p>
    <w:p>
      <w:pPr>
        <w:pStyle w:val="normal1"/>
        <w:spacing w:lineRule="auto" w:line="312" w:before="288" w:after="288"/>
        <w:ind w:hanging="0" w:start="567"/>
        <w:jc w:val="both"/>
        <w:rPr>
          <w:rFonts w:ascii="Arial" w:hAnsi="Arial" w:eastAsia="Arial" w:cs="Arial"/>
          <w:b/>
          <w:bCs/>
          <w:color w:val="000000"/>
          <w:sz w:val="20"/>
          <w:szCs w:val="20"/>
          <w:lang w:val="pt-BR"/>
        </w:rPr>
      </w:pPr>
      <w:r>
        <w:rPr>
          <w:rFonts w:eastAsia="Arial" w:cs="Arial" w:ascii="Arial" w:hAnsi="Arial"/>
          <w:b/>
          <w:bCs/>
          <w:color w:val="000000"/>
          <w:sz w:val="20"/>
          <w:szCs w:val="20"/>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31" w:name="_heading=h.i6xwk6ryr588"/>
      <w:bookmarkEnd w:id="31"/>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FASE DE HABILITAÇÃO</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Os documentos previstos no Termo de Referência, necessários e suficientes para demonstrar a capacidade do licitante de realizar o objeto da licitação, serão exigidos para fins de habilitação, nos termos dos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"art62"</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arts. 62 a 70 da Lei nº 14.133, de 2021</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2"/>
          <w:numId w:val="1"/>
        </w:numPr>
        <w:spacing w:lineRule="auto" w:line="312" w:before="288" w:after="288"/>
        <w:ind w:firstLine="567" w:start="567"/>
        <w:jc w:val="both"/>
        <w:rPr>
          <w:lang w:val="pt-BR"/>
        </w:rPr>
      </w:pPr>
      <w:bookmarkStart w:id="32" w:name="_heading=h.23ckvvd"/>
      <w:bookmarkEnd w:id="32"/>
      <w:r>
        <w:rPr>
          <w:rFonts w:eastAsia="Arial" w:cs="Arial" w:ascii="Arial" w:hAnsi="Arial"/>
          <w:color w:val="000000"/>
          <w:sz w:val="20"/>
          <w:szCs w:val="20"/>
          <w:lang w:val="pt-BR"/>
        </w:rPr>
        <w:t>A documentação exigida para fins de habilitação jurídica, fiscal, social e trabalhista e econômico-ﬁnanceira, poderá ser substituída pelo registro cadastral no SICAF.</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Quando permitida a participação de empresas estrangeiras que não funcionem no País, as exigências de habilitação serão atendidas mediante documentos equivalentes, inicialmente apresentados em tradução livre.</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20">
        <w:r>
          <w:rPr>
            <w:rStyle w:val="Style3"/>
            <w:rFonts w:eastAsia="Arial" w:cs="Arial" w:ascii="Arial" w:hAnsi="Arial"/>
            <w:color w:val="0000FF"/>
            <w:sz w:val="20"/>
            <w:szCs w:val="20"/>
            <w:u w:val="single"/>
            <w:lang w:val="pt-BR"/>
          </w:rPr>
          <w:t>Decreto nº 8.660, de 29 de janeiro de 2016</w:t>
        </w:r>
      </w:hyperlink>
      <w:r>
        <w:rPr>
          <w:rFonts w:eastAsia="Arial" w:cs="Arial" w:ascii="Arial" w:hAnsi="Arial"/>
          <w:color w:val="000000"/>
          <w:sz w:val="20"/>
          <w:szCs w:val="20"/>
          <w:lang w:val="pt-BR"/>
        </w:rPr>
        <w:t>, ou de outro que venha a substituí-lo, ou consularizados pelos respectivos consulados ou embaixadas.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shd w:fill="auto" w:val="clear"/>
          <w:lang w:val="pt-BR"/>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ormal1"/>
        <w:numPr>
          <w:ilvl w:val="2"/>
          <w:numId w:val="1"/>
        </w:numPr>
        <w:spacing w:lineRule="auto" w:line="312" w:before="288" w:after="288"/>
        <w:ind w:firstLine="567" w:start="567"/>
        <w:jc w:val="both"/>
        <w:rPr>
          <w:lang w:val="pt-BR"/>
        </w:rPr>
      </w:pPr>
      <w:r>
        <w:rPr>
          <w:rFonts w:eastAsia="Arial" w:cs="Arial" w:ascii="Arial" w:hAnsi="Arial"/>
          <w:color w:val="000000"/>
          <w:sz w:val="20"/>
          <w:szCs w:val="20"/>
          <w:shd w:fill="auto" w:val="clear"/>
          <w:lang w:val="pt-BR"/>
        </w:rPr>
        <w:t xml:space="preserve">Se o consórcio não for formado integralmente por microempresas ou empresas de pequeno porte e o Termo de Referência exigir requisitos de habilitação econômico-financeira, haverá um acréscimo de </w:t>
      </w:r>
      <w:r>
        <w:rPr>
          <w:rFonts w:eastAsia="Arial" w:cs="Arial" w:ascii="Arial" w:hAnsi="Arial"/>
          <w:color w:val="0000FF"/>
          <w:sz w:val="20"/>
          <w:szCs w:val="20"/>
          <w:shd w:fill="auto" w:val="clear"/>
          <w:lang w:val="pt-BR"/>
        </w:rPr>
        <w:t>10%</w:t>
      </w:r>
      <w:r>
        <w:rPr>
          <w:rFonts w:eastAsia="Arial" w:cs="Arial" w:ascii="Arial" w:hAnsi="Arial"/>
          <w:color w:val="000000"/>
          <w:sz w:val="20"/>
          <w:szCs w:val="20"/>
          <w:shd w:fill="auto" w:val="clear"/>
          <w:lang w:val="pt-BR"/>
        </w:rPr>
        <w:t xml:space="preserve">  para o consórcio em relação ao valor exigido para os licitantes individuais.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Os documentos exigidos para fins de habilitação poderão ser apresentados em original, por cópia ou </w:t>
      </w:r>
      <w:r>
        <w:rPr>
          <w:rFonts w:eastAsia="Arial" w:cs="Arial" w:ascii="Arial" w:hAnsi="Arial"/>
          <w:b/>
          <w:bCs/>
          <w:sz w:val="20"/>
          <w:szCs w:val="20"/>
          <w:lang w:val="pt-BR"/>
        </w:rPr>
        <w:t>por meio eletrônico, certificados ou assinados digitalmente</w:t>
      </w:r>
      <w:r>
        <w:rPr>
          <w:rFonts w:eastAsia="Arial" w:cs="Arial" w:ascii="Arial" w:hAnsi="Arial"/>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documentos exigidos para fins de habilitação poderão ser substituídos por registro cadastral emitido por órgão ou entidade pública, desde que o registro tenha sido feito em obediência ao disposto na Lei nº 14.133/2021.</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Será verificado se o licitante apresentou declaração de que atende aos requisitos de habilitação, e o declarante responderá pela veracidade das informações prestadas, na forma da lei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"art63"</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 63, I, da Lei nº 14.133/2021</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spacing w:lineRule="auto" w:line="312" w:before="288" w:after="288"/>
        <w:jc w:val="both"/>
        <w:rPr>
          <w:rFonts w:ascii="Arial" w:hAnsi="Arial" w:eastAsia="Arial" w:cs="Arial"/>
          <w:b/>
          <w:bCs/>
          <w:strike w:val="false"/>
          <w:dstrike w:val="false"/>
          <w:color w:val="808080"/>
          <w:sz w:val="20"/>
          <w:szCs w:val="20"/>
          <w:lang w:val="pt-BR"/>
        </w:rPr>
      </w:pPr>
      <w:r>
        <w:rPr>
          <w:rFonts w:eastAsia="Arial" w:cs="Arial" w:ascii="Arial" w:hAnsi="Arial"/>
          <w:b/>
          <w:bCs/>
          <w:strike w:val="false"/>
          <w:dstrike w:val="false"/>
          <w:color w:val="808080"/>
          <w:sz w:val="20"/>
          <w:szCs w:val="20"/>
          <w:lang w:val="pt-BR"/>
        </w:rPr>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habilitação será verificada por meio do Sicaf, nos documentos por ele abrangidos.</w:t>
      </w:r>
    </w:p>
    <w:p>
      <w:pPr>
        <w:pStyle w:val="normal1"/>
        <w:numPr>
          <w:ilvl w:val="2"/>
          <w:numId w:val="1"/>
        </w:numPr>
        <w:spacing w:lineRule="auto" w:line="312" w:before="288" w:after="288"/>
        <w:ind w:firstLine="567" w:start="567"/>
        <w:jc w:val="both"/>
        <w:rPr/>
      </w:pPr>
      <w:r>
        <w:rPr>
          <w:rFonts w:eastAsia="Arial" w:cs="Arial" w:ascii="Arial" w:hAnsi="Arial"/>
          <w:color w:val="000000"/>
          <w:sz w:val="20"/>
          <w:szCs w:val="20"/>
          <w:lang w:val="pt-BR"/>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Style3"/>
          <w:rFonts w:eastAsia="Arial" w:cs="Arial" w:ascii="Arial" w:hAnsi="Arial"/>
          <w:color w:val="0000FF"/>
          <w:sz w:val="20"/>
          <w:szCs w:val="20"/>
          <w:u w:val="single"/>
          <w:lang w:val="pt-BR"/>
        </w:rPr>
        <w:instrText xml:space="preserve"> HYPERLINK "https://www.gov.br/compras/pt-br/acesso-a-informacao/legislacao/instrucoes-normativas/instrucao-normativa-no-3-de-26-de-abril-de-2018" \l "art4"</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IN nº 3/2018, art. 4º, §1º, e art. 6º, §4º</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b/>
          <w:bCs/>
          <w:sz w:val="20"/>
          <w:szCs w:val="20"/>
          <w:lang w:val="pt-BR"/>
        </w:rPr>
        <w:t>Ainda que as Microempresas (ME), Empresas de Pequeno Porte (EPP) e Microempreendedores Individuais (MEI) estejam dispensadas da elaboração do balanço patrimonial, conforme Lei Complementar nº 123, de 14 de dezembro de 2006, para participação em licitação pública, quando exigido para fins de comprovação de sua boa situação financeira, deverá apresentar o balanço patrimonial e demonstrações contábeis atendendo às exigências do Termo de Referência e à seguinte peculiaridade:</w:t>
      </w:r>
    </w:p>
    <w:p>
      <w:pPr>
        <w:pStyle w:val="normal1"/>
        <w:numPr>
          <w:ilvl w:val="2"/>
          <w:numId w:val="1"/>
        </w:numPr>
        <w:spacing w:lineRule="auto" w:line="312" w:before="288" w:after="288"/>
        <w:ind w:firstLine="567" w:start="567"/>
        <w:jc w:val="both"/>
        <w:rPr>
          <w:lang w:val="pt-BR"/>
        </w:rPr>
      </w:pPr>
      <w:r>
        <w:rPr>
          <w:rFonts w:eastAsia="Arial" w:cs="Arial" w:ascii="Arial" w:hAnsi="Arial"/>
          <w:b/>
          <w:bCs/>
          <w:sz w:val="20"/>
          <w:szCs w:val="20"/>
          <w:lang w:val="pt-BR"/>
        </w:rPr>
        <w:t>A Instrução Normativa DREI/SGD/ME Nº 82/2021 torna obrigatória a autenticação na Junta Comercial dos documentos contábeis, cabendo salientar que, o Registro na Junta Comercial pode ser dispensado se as demonstrações contáveis forem apresentadas através do Sistema Público de Escrituração Digital –</w:t>
      </w:r>
      <w:r>
        <w:rPr>
          <w:rFonts w:eastAsia="Arial" w:cs="Arial" w:ascii="Arial" w:hAnsi="Arial"/>
          <w:b/>
          <w:bCs/>
          <w:sz w:val="21"/>
          <w:szCs w:val="21"/>
          <w:highlight w:val="white"/>
          <w:lang w:val="pt-BR"/>
        </w:rPr>
        <w:t xml:space="preserve"> </w:t>
      </w:r>
      <w:r>
        <w:rPr>
          <w:rFonts w:eastAsia="Arial" w:cs="Arial" w:ascii="Arial" w:hAnsi="Arial"/>
          <w:b/>
          <w:bCs/>
          <w:sz w:val="20"/>
          <w:szCs w:val="20"/>
          <w:lang w:val="pt-BR"/>
        </w:rPr>
        <w:t>SPED.</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21">
        <w:r>
          <w:rPr>
            <w:rStyle w:val="Style3"/>
            <w:rFonts w:eastAsia="Arial" w:cs="Arial" w:ascii="Arial" w:hAnsi="Arial"/>
            <w:color w:val="0000FF"/>
            <w:sz w:val="20"/>
            <w:szCs w:val="20"/>
            <w:u w:val="single"/>
            <w:lang w:val="pt-BR"/>
          </w:rPr>
          <w:t xml:space="preserve">IN nº 3/2018, art. 7º, </w:t>
        </w:r>
      </w:hyperlink>
      <w:hyperlink r:id="rId22">
        <w:r>
          <w:rPr>
            <w:rStyle w:val="Style3"/>
            <w:rFonts w:eastAsia="Arial" w:cs="Arial" w:ascii="Arial" w:hAnsi="Arial"/>
            <w:i/>
            <w:iCs/>
            <w:color w:val="0000FF"/>
            <w:sz w:val="20"/>
            <w:szCs w:val="20"/>
            <w:u w:val="single"/>
            <w:lang w:val="pt-BR"/>
          </w:rPr>
          <w:t>caput</w:t>
        </w:r>
      </w:hyperlink>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verificação pelo pregoeiro, em sítios eletrônicos oficiais de órgãos e entidades emissores de certidões constitui meio legal de prova, para fins de habilitação.</w:t>
      </w:r>
    </w:p>
    <w:p>
      <w:pPr>
        <w:pStyle w:val="normal1"/>
        <w:numPr>
          <w:ilvl w:val="2"/>
          <w:numId w:val="1"/>
        </w:numPr>
        <w:spacing w:lineRule="auto" w:line="360" w:before="120" w:after="120"/>
        <w:ind w:firstLine="567" w:start="567"/>
        <w:jc w:val="both"/>
        <w:rPr>
          <w:lang w:val="pt-BR"/>
        </w:rPr>
      </w:pPr>
      <w:bookmarkStart w:id="33" w:name="_heading=h.ihv636"/>
      <w:bookmarkEnd w:id="33"/>
      <w:r>
        <w:rPr>
          <w:rFonts w:eastAsia="Arial" w:cs="Arial" w:ascii="Arial" w:hAnsi="Arial"/>
          <w:color w:val="000000"/>
          <w:sz w:val="20"/>
          <w:szCs w:val="20"/>
          <w:lang w:val="pt-BR"/>
        </w:rPr>
        <w:t>Os documentos exigidos para habilitação que não estejam contemplados no Sicaf serão enviados por meio do sistema, em formato digital, no prazo de</w:t>
      </w:r>
      <w:r>
        <w:rPr>
          <w:rFonts w:eastAsia="Arial" w:cs="Arial" w:ascii="Arial" w:hAnsi="Arial"/>
          <w:color w:val="000000"/>
          <w:sz w:val="20"/>
          <w:szCs w:val="20"/>
          <w:highlight w:val="yellow"/>
          <w:lang w:val="pt-BR"/>
        </w:rPr>
        <w:t xml:space="preserve"> </w:t>
      </w:r>
      <w:r>
        <w:rPr>
          <w:rFonts w:eastAsia="Arial" w:cs="Arial" w:ascii="Arial" w:hAnsi="Arial"/>
          <w:b/>
          <w:bCs/>
          <w:color w:val="000000"/>
          <w:sz w:val="20"/>
          <w:szCs w:val="20"/>
          <w:highlight w:val="yellow"/>
          <w:lang w:val="pt-BR"/>
        </w:rPr>
        <w:t>2 (duas) horas</w:t>
      </w:r>
      <w:r>
        <w:rPr>
          <w:rFonts w:eastAsia="Arial" w:cs="Arial" w:ascii="Arial" w:hAnsi="Arial"/>
          <w:color w:val="000000"/>
          <w:sz w:val="20"/>
          <w:szCs w:val="20"/>
          <w:lang w:val="pt-BR"/>
        </w:rPr>
        <w:t>, ou conforme solicitação do Pregoeiro através do chat, prorrogável por igual período, contado da solicitação do pregoeiro.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verificação no Sicaf ou a exigência dos documentos nele não contidos somente será feita em relação ao licitante vencedor.</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Os documentos relativos à regularidade fiscal que constem do Termo de Referência somente serão exigidos, em qualquer caso, em momento posterior ao julgamento das propostas, e apenas do licitante mais bem classificado.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Encerrado o prazo para envio da documentação de que trata o item </w:t>
      </w:r>
      <w:r>
        <w:rPr>
          <w:rFonts w:eastAsia="Arial" w:cs="Arial" w:ascii="Arial" w:hAnsi="Arial"/>
          <w:sz w:val="20"/>
          <w:szCs w:val="20"/>
          <w:lang w:val="pt-BR"/>
        </w:rPr>
        <w:t>9.11.11</w:t>
      </w:r>
      <w:r>
        <w:rPr>
          <w:rFonts w:eastAsia="Arial" w:cs="Arial" w:ascii="Arial" w:hAnsi="Arial"/>
          <w:color w:val="000000"/>
          <w:sz w:val="20"/>
          <w:szCs w:val="20"/>
          <w:lang w:val="pt-BR"/>
        </w:rPr>
        <w:t>, poderá ser admitida, mediante decisão fundamentada do Pregoeiro, a apresentação de novos documentos de habilitação ou a complementação de informações acerca dos documentos já apresentados pelos licitantes, em até 2 horas, para: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aferição das condições de habilitação do licitante, desde que decorrentes de fatos existentes à época da abertura do certame;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atualização de documentos cuja validade tenha expirado após a data de recebimento das propostas;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suprimento da ausência de documento de cunho declaratório emitido unilateralmente pelo licitante;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 xml:space="preserve"> </w:t>
      </w:r>
      <w:r>
        <w:rPr>
          <w:rFonts w:eastAsia="Arial" w:cs="Arial" w:ascii="Arial" w:hAnsi="Arial"/>
          <w:color w:val="000000"/>
          <w:sz w:val="20"/>
          <w:szCs w:val="20"/>
          <w:lang w:val="pt-BR"/>
        </w:rPr>
        <w:t>suprimento da ausência de certidão e/ou documento de cunho declaratório expedido por órgão ou entidade cujos atos gozem de presunção de veracidade e fé pública.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Findo o prazo assinalado sem o envio da nova documentação, restará preclusa essa oportunidade conferida ao licitante, implicando sua inabilitação. </w:t>
      </w:r>
    </w:p>
    <w:p>
      <w:pPr>
        <w:pStyle w:val="normal1"/>
        <w:numPr>
          <w:ilvl w:val="1"/>
          <w:numId w:val="1"/>
        </w:numPr>
        <w:spacing w:lineRule="auto" w:line="312" w:before="288" w:after="288"/>
        <w:ind w:firstLine="567" w:start="0"/>
        <w:jc w:val="both"/>
        <w:rPr>
          <w:lang w:val="pt-BR"/>
        </w:rPr>
      </w:pPr>
      <w:bookmarkStart w:id="34" w:name="_heading=h.32hioqz"/>
      <w:bookmarkEnd w:id="34"/>
      <w:r>
        <w:rPr>
          <w:rFonts w:eastAsia="Arial" w:cs="Arial" w:ascii="Arial" w:hAnsi="Arial"/>
          <w:color w:val="000000"/>
          <w:sz w:val="20"/>
          <w:szCs w:val="20"/>
          <w:lang w:val="pt-BR"/>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pPr>
        <w:pStyle w:val="normal1"/>
        <w:numPr>
          <w:ilvl w:val="1"/>
          <w:numId w:val="1"/>
        </w:numPr>
        <w:spacing w:lineRule="auto" w:line="312" w:before="288" w:after="288"/>
        <w:ind w:firstLine="567" w:start="0"/>
        <w:jc w:val="both"/>
        <w:rPr>
          <w:lang w:val="pt-BR"/>
        </w:rPr>
      </w:pPr>
      <w:bookmarkStart w:id="35" w:name="_heading=h.1hmsyys"/>
      <w:bookmarkEnd w:id="35"/>
      <w:r>
        <w:rPr>
          <w:rFonts w:eastAsia="Arial" w:cs="Arial" w:ascii="Arial" w:hAnsi="Arial"/>
          <w:color w:val="000000"/>
          <w:sz w:val="20"/>
          <w:szCs w:val="20"/>
          <w:lang w:val="pt-BR"/>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w:t>
      </w:r>
      <w:r>
        <w:rPr>
          <w:rFonts w:eastAsia="Arial" w:cs="Arial" w:ascii="Arial" w:hAnsi="Arial"/>
          <w:sz w:val="20"/>
          <w:szCs w:val="20"/>
          <w:lang w:val="pt-BR"/>
        </w:rPr>
        <w:t>subitem 9.11.11.</w:t>
      </w:r>
    </w:p>
    <w:p>
      <w:pPr>
        <w:pStyle w:val="normal1"/>
        <w:numPr>
          <w:ilvl w:val="1"/>
          <w:numId w:val="1"/>
        </w:numPr>
        <w:spacing w:lineRule="auto" w:line="312" w:before="288" w:after="288"/>
        <w:ind w:firstLine="567" w:start="0"/>
        <w:jc w:val="both"/>
        <w:rPr>
          <w:lang w:val="pt-BR"/>
        </w:rPr>
      </w:pPr>
      <w:bookmarkStart w:id="36" w:name="_heading=h.939am3sxwc85"/>
      <w:bookmarkEnd w:id="36"/>
      <w:r>
        <w:rPr>
          <w:rFonts w:eastAsia="Arial" w:cs="Arial" w:ascii="Arial" w:hAnsi="Arial"/>
          <w:color w:val="000000"/>
          <w:sz w:val="20"/>
          <w:szCs w:val="20"/>
          <w:highlight w:val="white"/>
          <w:lang w:val="pt-BR"/>
        </w:rPr>
        <w:t>Somente serão disponibilizados para acesso público os documentos de habilitação do licitante cuja proposta atenda ao edital de licitação, após concluídos os procedimentos de que trata o subitem anterior.</w:t>
      </w:r>
    </w:p>
    <w:p>
      <w:pPr>
        <w:pStyle w:val="normal1"/>
        <w:numPr>
          <w:ilvl w:val="2"/>
          <w:numId w:val="1"/>
        </w:numPr>
        <w:spacing w:lineRule="auto" w:line="360" w:before="120" w:after="120"/>
        <w:ind w:firstLine="567" w:start="567"/>
        <w:jc w:val="both"/>
        <w:rPr>
          <w:lang w:val="pt-BR"/>
        </w:rPr>
      </w:pPr>
      <w:r>
        <w:rPr>
          <w:rFonts w:eastAsia="Arial" w:cs="Arial" w:ascii="Arial" w:hAnsi="Arial"/>
          <w:b/>
          <w:bCs/>
          <w:sz w:val="20"/>
          <w:szCs w:val="20"/>
          <w:highlight w:val="white"/>
          <w:lang w:val="pt-BR"/>
        </w:rPr>
        <w:t xml:space="preserve">Os documentos acima descritos estarão disponíveis no processo SEI através do link https://www.uff.br/licitacoes/ </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A comprovação de regularidade fiscal e trabalhista das microempresas e das empresas de pequeno porte somente será exigida para efeito de contratação, e não como condição para participação na licitação (</w:t>
      </w:r>
      <w:r>
        <w:fldChar w:fldCharType="begin"/>
      </w:r>
      <w:r>
        <w:rPr>
          <w:rStyle w:val="Style3"/>
          <w:rFonts w:eastAsia="Arial" w:cs="Arial" w:ascii="Arial" w:hAnsi="Arial"/>
          <w:color w:val="0000FF"/>
          <w:sz w:val="20"/>
          <w:szCs w:val="20"/>
          <w:u w:val="single"/>
          <w:lang w:val="pt-BR"/>
        </w:rPr>
        <w:instrText xml:space="preserve"> HYPERLINK "https://www.planalto.gov.br/ccivil_03/_ato2015-2018/2015/decreto/d8538.htm" \l "art4"</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 4º do Decreto nº 8.538/2015</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37" w:name="_heading=h.2n1ih01hj54b"/>
      <w:bookmarkEnd w:id="37"/>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DO TERMO DE CONTRATO</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Após a homologação e adjudicação, caso se conclua pela contratação, será firmado termo de contrato, ou outro instrumento equivalente.</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shd w:fill="auto" w:val="clear"/>
          <w:lang w:val="pt-BR"/>
        </w:rPr>
        <w:t>O Aceite da Nota de Empenho ou do instrumento equivalente, emitida ao fornecedor adjudicado, implica o reconhecimento de que:</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shd w:fill="auto" w:val="clear"/>
          <w:lang w:val="pt-BR"/>
        </w:rPr>
        <w:t>referida Nota está substituindo o contrato, aplicando-se à relação de negócios ali estabelecida as disposições da Lei nº 14.133, de 2021;</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shd w:fill="auto" w:val="clear"/>
          <w:lang w:val="pt-BR"/>
        </w:rPr>
        <w:t>a contratada se vincula à sua proposta e às previsões contidas neste Edital;</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shd w:fill="auto" w:val="clear"/>
          <w:lang w:val="pt-BR"/>
        </w:rPr>
        <w:t>a contratada reconhece que as hipóteses de rescisão são aquelas previstas nos artigos 137 e 138 da Lei nº 14.133, de 2021 e reconhece os direitos da Administração previstos nos artigos 137 a 139 da mesma Lei.</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Os prazos dos itens 10.2 e 10.3 poderão ser prorrogados, por igual período, por solicitação justificada do adjudicatário e aceita pela Administração.</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 xml:space="preserve"> </w:t>
      </w:r>
      <w:r>
        <w:rPr>
          <w:rFonts w:eastAsia="Arial" w:cs="Arial" w:ascii="Arial" w:hAnsi="Arial"/>
          <w:sz w:val="20"/>
          <w:szCs w:val="20"/>
          <w:lang w:val="pt-BR"/>
        </w:rPr>
        <w:t>O prazo de vigência da contratação é o estabelecido no Termo de Referência.</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lang w:val="pt-BR"/>
        </w:rPr>
        <w:t xml:space="preserve"> </w:t>
      </w:r>
      <w:r>
        <w:rPr>
          <w:rFonts w:eastAsia="Arial" w:cs="Arial" w:ascii="Arial" w:hAnsi="Arial"/>
          <w:sz w:val="20"/>
          <w:szCs w:val="20"/>
          <w:lang w:val="pt-BR"/>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A existência de registro no Cadin constitui fator impeditivo para a contratação.</w:t>
      </w:r>
    </w:p>
    <w:p>
      <w:pPr>
        <w:pStyle w:val="normal1"/>
        <w:keepNext w:val="false"/>
        <w:keepLines w:val="false"/>
        <w:pageBreakBefore w:val="false"/>
        <w:widowControl/>
        <w:shd w:val="clear" w:fill="auto"/>
        <w:spacing w:lineRule="auto" w:line="276" w:before="120" w:after="120"/>
        <w:ind w:hanging="0" w:start="1200" w:end="0"/>
        <w:jc w:val="both"/>
        <w:rPr>
          <w:rFonts w:ascii="Arial" w:hAnsi="Arial" w:eastAsia="Arial" w:cs="Arial"/>
          <w:b/>
          <w:bCs/>
          <w:i w:val="false"/>
          <w:iCs w:val="false"/>
          <w:caps w:val="false"/>
          <w:smallCaps w:val="false"/>
          <w:strike w:val="false"/>
          <w:dstrike w:val="false"/>
          <w:color w:val="808080"/>
          <w:position w:val="0"/>
          <w:sz w:val="20"/>
          <w:szCs w:val="20"/>
          <w:u w:val="none"/>
          <w:shd w:fill="auto" w:val="clear"/>
          <w:vertAlign w:val="baseline"/>
          <w:lang w:val="pt-BR"/>
        </w:rPr>
      </w:pPr>
      <w:r>
        <w:rPr>
          <w:rFonts w:eastAsia="Arial" w:cs="Arial" w:ascii="Arial" w:hAnsi="Arial"/>
          <w:b/>
          <w:bCs/>
          <w:i w:val="false"/>
          <w:iCs w:val="false"/>
          <w:caps w:val="false"/>
          <w:smallCaps w:val="false"/>
          <w:strike w:val="false"/>
          <w:dstrike w:val="false"/>
          <w:color w:val="808080"/>
          <w:position w:val="0"/>
          <w:sz w:val="20"/>
          <w:szCs w:val="20"/>
          <w:u w:val="none"/>
          <w:shd w:fill="auto" w:val="clear"/>
          <w:vertAlign w:val="baseline"/>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38" w:name="_heading=h.25ijugtlzgii"/>
      <w:bookmarkEnd w:id="38"/>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ATA DE REGISTRO DE PREÇOS</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Homologado o resultado da licitação, o licitante mais bem classificado terá o prazo de</w:t>
      </w:r>
      <w:r>
        <w:rPr>
          <w:rFonts w:eastAsia="Arial" w:cs="Arial" w:ascii="Arial" w:hAnsi="Arial"/>
          <w:b/>
          <w:bCs/>
          <w:i w:val="false"/>
          <w:iCs w:val="false"/>
          <w:caps w:val="false"/>
          <w:smallCaps w:val="false"/>
          <w:strike w:val="false"/>
          <w:dstrike w:val="false"/>
          <w:position w:val="0"/>
          <w:sz w:val="20"/>
          <w:szCs w:val="20"/>
          <w:u w:val="none"/>
          <w:vertAlign w:val="baseline"/>
          <w:lang w:val="pt-BR"/>
        </w:rPr>
        <w:t xml:space="preserve"> 3 (três) dias,</w:t>
      </w: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 xml:space="preserve"> contados a partir da data de sua convocação, para assinar a Ata de Registro de Preços, cujo prazo de validade encontra-se nela fixado, sob pena de decadência do direito à contratação, sem prejuízo das sanções previstas na Lei nº 14.133, de 2021. </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O prazo de convocação poderá ser prorrogado uma vez, por igual período, mediante solicitação do licitante mais bem classificado ou do fornecedor convocado, desde que:</w:t>
      </w:r>
    </w:p>
    <w:p>
      <w:pPr>
        <w:pStyle w:val="normal1"/>
        <w:numPr>
          <w:ilvl w:val="2"/>
          <w:numId w:val="1"/>
        </w:numPr>
        <w:spacing w:lineRule="auto" w:line="276" w:before="120" w:after="120"/>
        <w:ind w:hanging="240" w:start="1440"/>
        <w:jc w:val="both"/>
        <w:rPr>
          <w:lang w:val="pt-BR"/>
        </w:rPr>
      </w:pPr>
      <w:r>
        <w:rPr>
          <w:rFonts w:eastAsia="Arial" w:cs="Arial" w:ascii="Arial" w:hAnsi="Arial"/>
          <w:color w:val="000000"/>
          <w:sz w:val="20"/>
          <w:szCs w:val="20"/>
          <w:lang w:val="pt-BR"/>
        </w:rPr>
        <w:t>a solicitação seja devidamente justificada e apresentada dentro do prazo; e</w:t>
      </w:r>
    </w:p>
    <w:p>
      <w:pPr>
        <w:pStyle w:val="normal1"/>
        <w:numPr>
          <w:ilvl w:val="2"/>
          <w:numId w:val="1"/>
        </w:numPr>
        <w:spacing w:lineRule="auto" w:line="276" w:before="120" w:after="120"/>
        <w:ind w:hanging="240" w:start="1440"/>
        <w:jc w:val="both"/>
        <w:rPr>
          <w:lang w:val="pt-BR"/>
        </w:rPr>
      </w:pPr>
      <w:r>
        <w:rPr>
          <w:rFonts w:eastAsia="Arial" w:cs="Arial" w:ascii="Arial" w:hAnsi="Arial"/>
          <w:color w:val="000000"/>
          <w:sz w:val="20"/>
          <w:szCs w:val="20"/>
          <w:lang w:val="pt-BR"/>
        </w:rPr>
        <w:t>a justificativa apresentada seja aceita pela Administração.</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 ata de registro de preços será assinada por meio de assinatura digital e disponibilizada no sistema de registro de preços.</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O preço registrado, com a indicação dos fornecedores, será divulgado no PNCP e disponibilizado durante a vigência da ata de registro de preços.</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ormal1"/>
        <w:keepNext w:val="false"/>
        <w:keepLines w:val="false"/>
        <w:pageBreakBefore w:val="false"/>
        <w:widowControl/>
        <w:numPr>
          <w:ilvl w:val="1"/>
          <w:numId w:val="1"/>
        </w:numPr>
        <w:shd w:val="clear" w:fill="auto"/>
        <w:spacing w:lineRule="auto" w:line="276" w:before="120" w:after="120"/>
        <w:ind w:firstLine="567" w:start="0" w:end="0"/>
        <w:jc w:val="both"/>
        <w:rPr>
          <w:lang w:val="pt-BR"/>
        </w:rPr>
      </w:pPr>
      <w:r>
        <w:rPr>
          <w:rFonts w:eastAsia="Arial" w:cs="Arial" w:ascii="Arial" w:hAnsi="Arial"/>
          <w:b w:val="false"/>
          <w:bCs w:val="false"/>
          <w:i w:val="false"/>
          <w:iCs w:val="false"/>
          <w:caps w:val="false"/>
          <w:smallCaps w:val="false"/>
          <w:strike w:val="false"/>
          <w:dstrike w:val="false"/>
          <w:color w:val="000000"/>
          <w:position w:val="0"/>
          <w:sz w:val="20"/>
          <w:szCs w:val="20"/>
          <w:u w:val="none"/>
          <w:shd w:fill="auto" w:val="clear"/>
          <w:vertAlign w:val="baseline"/>
          <w:lang w:val="pt-BR"/>
        </w:rPr>
        <w:t>O prazo de vigência da ata de registro de preços será de 1 (um) ano e poderá ser prorrogado, por igual período, desde que comprovado o preço vantajoso.</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lang w:val="pt-BR"/>
        </w:rPr>
        <w:t xml:space="preserve">Em caso de prorrogação da ata, </w:t>
      </w:r>
      <w:r>
        <w:rPr>
          <w:rFonts w:eastAsia="Arial" w:cs="Arial" w:ascii="Arial" w:hAnsi="Arial"/>
          <w:b/>
          <w:bCs/>
          <w:sz w:val="20"/>
          <w:szCs w:val="20"/>
          <w:u w:val="single"/>
          <w:lang w:val="pt-BR"/>
        </w:rPr>
        <w:t>poderá</w:t>
      </w:r>
      <w:r>
        <w:rPr>
          <w:rFonts w:eastAsia="Arial" w:cs="Arial" w:ascii="Arial" w:hAnsi="Arial"/>
          <w:sz w:val="20"/>
          <w:szCs w:val="20"/>
          <w:lang w:val="pt-BR"/>
        </w:rPr>
        <w:t xml:space="preserve"> ser renovado o quantitativo originalmente registrado.</w:t>
      </w:r>
    </w:p>
    <w:p>
      <w:pPr>
        <w:pStyle w:val="normal1"/>
        <w:rPr>
          <w:lang w:val="pt-BR"/>
        </w:rPr>
      </w:pPr>
      <w:r>
        <w:rPr>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39" w:name="_heading=h.eftcxhyfrwj6"/>
      <w:bookmarkEnd w:id="39"/>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DOS RECURSOS</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A interposição de recurso referente ao julgamento das propostas, à habilitação ou inabilitação de licitantes, à anulação ou revogação da licitação, observará o disposto no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"art165"</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 165 da Lei nº 14.133, de 2021</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prazo recursal é de 3 (três) dias úteis, contados da data de intimação ou de lavratura da ata.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Quando o recurso apresentado impugnar o julgamento das propostas ou o ato de habilitação ou inabilitação do licitante: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intenção de recorrer deverá ser manifestada imediatamente, sob pena de preclusão;</w:t>
      </w:r>
    </w:p>
    <w:p>
      <w:pPr>
        <w:pStyle w:val="normal1"/>
        <w:numPr>
          <w:ilvl w:val="2"/>
          <w:numId w:val="1"/>
        </w:numPr>
        <w:spacing w:lineRule="auto" w:line="360" w:before="120" w:after="120"/>
        <w:ind w:firstLine="567" w:start="567"/>
        <w:jc w:val="both"/>
        <w:rPr>
          <w:lang w:val="pt-BR"/>
        </w:rPr>
      </w:pPr>
      <w:bookmarkStart w:id="40" w:name="_heading=h.4f1mdlm"/>
      <w:bookmarkEnd w:id="40"/>
      <w:r>
        <w:rPr>
          <w:rFonts w:eastAsia="Arial" w:cs="Arial" w:ascii="Arial" w:hAnsi="Arial"/>
          <w:color w:val="000000"/>
          <w:sz w:val="20"/>
          <w:szCs w:val="20"/>
          <w:lang w:val="pt-BR"/>
        </w:rPr>
        <w:t>o prazo para a manifestação da intenção de recorrer não será inferior a 10 (dez) minutos.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o prazo para apresentação das razões recursais será iniciado na data de intimação ou de lavratura da ata de habilitação ou inabilitação;</w:t>
      </w:r>
    </w:p>
    <w:p>
      <w:pPr>
        <w:pStyle w:val="normal1"/>
        <w:numPr>
          <w:ilvl w:val="2"/>
          <w:numId w:val="1"/>
        </w:numPr>
        <w:spacing w:lineRule="auto" w:line="360" w:before="120" w:after="120"/>
        <w:ind w:firstLine="567" w:start="567"/>
        <w:jc w:val="both"/>
        <w:rPr/>
      </w:pPr>
      <w:r>
        <w:rPr>
          <w:rFonts w:eastAsia="Arial" w:cs="Arial" w:ascii="Arial" w:hAnsi="Arial"/>
          <w:color w:val="000000"/>
          <w:sz w:val="20"/>
          <w:szCs w:val="20"/>
          <w:lang w:val="pt-BR"/>
        </w:rPr>
        <w:t xml:space="preserve">na hipótese de adoção da inversão de fases prevista no </w:t>
      </w:r>
      <w:r>
        <w:fldChar w:fldCharType="begin"/>
      </w:r>
      <w:r>
        <w:rPr>
          <w:rStyle w:val="Style3"/>
          <w:rFonts w:eastAsia="Arial" w:cs="Arial" w:ascii="Arial" w:hAnsi="Arial"/>
          <w:color w:val="000000"/>
          <w:sz w:val="20"/>
          <w:szCs w:val="20"/>
          <w:lang w:val="pt-BR"/>
        </w:rPr>
        <w:instrText xml:space="preserve"> HYPERLINK "http://www.planalto.gov.br/ccivil_03/_ato2019-2022/2021/lei/L14133.htm" \l "art17%C2%A71"</w:instrText>
      </w:r>
      <w:r>
        <w:rPr>
          <w:rStyle w:val="Style3"/>
          <w:rFonts w:eastAsia="Arial" w:cs="Arial" w:ascii="Arial" w:hAnsi="Arial"/>
          <w:color w:val="000000"/>
          <w:sz w:val="20"/>
          <w:szCs w:val="20"/>
          <w:lang w:val="pt-BR"/>
        </w:rPr>
        <w:fldChar w:fldCharType="separate"/>
      </w:r>
      <w:r>
        <w:rPr>
          <w:rStyle w:val="Style3"/>
          <w:rFonts w:eastAsia="Arial" w:cs="Arial" w:ascii="Arial" w:hAnsi="Arial"/>
          <w:color w:val="000000"/>
          <w:sz w:val="20"/>
          <w:szCs w:val="20"/>
          <w:lang w:val="pt-BR"/>
        </w:rPr>
        <w:t>§ 1º do art. 17 da Lei nº 14.133, de 2021</w:t>
      </w:r>
      <w:r>
        <w:rPr>
          <w:rStyle w:val="Style3"/>
          <w:rFonts w:eastAsia="Arial" w:cs="Arial" w:ascii="Arial" w:hAnsi="Arial"/>
          <w:color w:val="000000"/>
          <w:sz w:val="20"/>
          <w:szCs w:val="20"/>
          <w:lang w:val="pt-BR"/>
        </w:rPr>
        <w:fldChar w:fldCharType="end"/>
      </w:r>
      <w:r>
        <w:rPr>
          <w:rFonts w:eastAsia="Arial" w:cs="Arial" w:ascii="Arial" w:hAnsi="Arial"/>
          <w:color w:val="000000"/>
          <w:sz w:val="20"/>
          <w:szCs w:val="20"/>
          <w:lang w:val="pt-BR"/>
        </w:rPr>
        <w:t>, o prazo para apresentação das razões recursais será iniciado na data de intimação da ata de julgamento.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recursos deverão ser encaminhados em campo próprio do sistema.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Os recursos interpostos fora do prazo não serão conhecidos.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 recurso e o pedido de reconsideração terão efeito suspensivo do ato ou da decisão recorrida até que sobrevenha decisão final da autoridade competente.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O acolhimento do recurso invalida tão somente os atos insuscetíveis de aproveitamento. </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Os autos do processo permanecerão com vista franqueada aos interessados, por meio do clique no nº do processo, constante também do endereço eletrônico </w:t>
      </w:r>
      <w:hyperlink r:id="rId23">
        <w:r>
          <w:rPr>
            <w:rStyle w:val="Style3"/>
            <w:rFonts w:eastAsia="Arial" w:cs="Arial" w:ascii="Arial" w:hAnsi="Arial"/>
            <w:color w:val="000000"/>
            <w:sz w:val="20"/>
            <w:szCs w:val="20"/>
            <w:lang w:val="pt-BR"/>
          </w:rPr>
          <w:t xml:space="preserve"> www.uff.br/licitacoes</w:t>
        </w:r>
      </w:hyperlink>
      <w:r>
        <w:rPr>
          <w:rFonts w:eastAsia="Arial" w:cs="Arial" w:ascii="Arial" w:hAnsi="Arial"/>
          <w:sz w:val="20"/>
          <w:szCs w:val="20"/>
          <w:lang w:val="pt-BR"/>
        </w:rPr>
        <w:t>/.</w:t>
      </w:r>
    </w:p>
    <w:p>
      <w:pPr>
        <w:pStyle w:val="normal1"/>
        <w:spacing w:lineRule="auto" w:line="312" w:before="288" w:after="288"/>
        <w:ind w:hanging="0" w:start="567"/>
        <w:jc w:val="both"/>
        <w:rPr>
          <w:rFonts w:ascii="Arial" w:hAnsi="Arial" w:eastAsia="Arial" w:cs="Arial"/>
          <w:color w:val="000000"/>
          <w:sz w:val="20"/>
          <w:szCs w:val="20"/>
          <w:lang w:val="pt-BR"/>
        </w:rPr>
      </w:pPr>
      <w:r>
        <w:rPr>
          <w:rFonts w:eastAsia="Arial" w:cs="Arial" w:ascii="Arial" w:hAnsi="Arial"/>
          <w:color w:val="000000"/>
          <w:sz w:val="20"/>
          <w:szCs w:val="20"/>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41" w:name="_heading=h.mpj4vip2u5kp"/>
      <w:bookmarkEnd w:id="41"/>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DAS INFRAÇÕES ADMINISTRATIVAS E SANÇÕES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Comete infração administrativa, nos termos da lei, o licitante que, com dolo ou culpa: </w:t>
      </w:r>
    </w:p>
    <w:p>
      <w:pPr>
        <w:pStyle w:val="normal1"/>
        <w:numPr>
          <w:ilvl w:val="2"/>
          <w:numId w:val="1"/>
        </w:numPr>
        <w:spacing w:lineRule="auto" w:line="360" w:before="120" w:after="120"/>
        <w:ind w:firstLine="567" w:start="567"/>
        <w:jc w:val="both"/>
        <w:rPr>
          <w:lang w:val="pt-BR"/>
        </w:rPr>
      </w:pPr>
      <w:bookmarkStart w:id="42" w:name="_heading=h.19c6y18"/>
      <w:bookmarkEnd w:id="42"/>
      <w:r>
        <w:rPr>
          <w:rFonts w:eastAsia="Arial" w:cs="Arial" w:ascii="Arial" w:hAnsi="Arial"/>
          <w:color w:val="000000"/>
          <w:sz w:val="20"/>
          <w:szCs w:val="20"/>
          <w:lang w:val="pt-BR"/>
        </w:rPr>
        <w:t>deixar de entregar a documentação exigida para o certame ou não entregar qualquer documento que tenha sido solicitado pelo/a pregoeiro/a durante o certame;</w:t>
      </w:r>
    </w:p>
    <w:p>
      <w:pPr>
        <w:pStyle w:val="normal1"/>
        <w:numPr>
          <w:ilvl w:val="2"/>
          <w:numId w:val="1"/>
        </w:numPr>
        <w:spacing w:lineRule="auto" w:line="360" w:before="120" w:after="120"/>
        <w:ind w:firstLine="567" w:start="567"/>
        <w:jc w:val="both"/>
        <w:rPr>
          <w:lang w:val="pt-BR"/>
        </w:rPr>
      </w:pPr>
      <w:bookmarkStart w:id="43" w:name="_heading=h.3tbugp1"/>
      <w:bookmarkEnd w:id="43"/>
      <w:r>
        <w:rPr>
          <w:rFonts w:eastAsia="Arial" w:cs="Arial" w:ascii="Arial" w:hAnsi="Arial"/>
          <w:color w:val="000000"/>
          <w:sz w:val="20"/>
          <w:szCs w:val="20"/>
          <w:lang w:val="pt-BR"/>
        </w:rPr>
        <w:t>Salvo em decorrência de fato superveniente devidamente justificado, não mantiver a proposta em especial quando:</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não enviar a proposta adequada ao último lance ofertado ou após a negociação; </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recusar-se a enviar o detalhamento da proposta quando exigível; </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pedir para ser desclassificado quando encerrada a etapa competitiva; ou </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deixar de apresentar amostra;</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apresentar proposta ou amostra em desacordo com as especificações do edital; </w:t>
      </w:r>
    </w:p>
    <w:p>
      <w:pPr>
        <w:pStyle w:val="normal1"/>
        <w:numPr>
          <w:ilvl w:val="2"/>
          <w:numId w:val="1"/>
        </w:numPr>
        <w:spacing w:lineRule="auto" w:line="312" w:before="288" w:after="288"/>
        <w:ind w:firstLine="567" w:start="567"/>
        <w:jc w:val="both"/>
        <w:rPr>
          <w:lang w:val="pt-BR"/>
        </w:rPr>
      </w:pPr>
      <w:bookmarkStart w:id="44" w:name="_heading=h.28h4qwu"/>
      <w:bookmarkEnd w:id="44"/>
      <w:r>
        <w:rPr>
          <w:rFonts w:eastAsia="Arial" w:cs="Arial" w:ascii="Arial" w:hAnsi="Arial"/>
          <w:color w:val="000000"/>
          <w:sz w:val="20"/>
          <w:szCs w:val="20"/>
          <w:lang w:val="pt-BR"/>
        </w:rPr>
        <w:t>não celebrar o contrato ou não entregar a documentação exigida para a contratação, quando convocado dentro do prazo de validade de sua proposta;</w:t>
      </w:r>
    </w:p>
    <w:p>
      <w:pPr>
        <w:pStyle w:val="normal1"/>
        <w:numPr>
          <w:ilvl w:val="3"/>
          <w:numId w:val="1"/>
        </w:numPr>
        <w:spacing w:lineRule="auto" w:line="312" w:before="288" w:after="288"/>
        <w:ind w:firstLine="284" w:start="1276"/>
        <w:jc w:val="both"/>
        <w:rPr>
          <w:lang w:val="pt-BR"/>
        </w:rPr>
      </w:pPr>
      <w:r>
        <w:rPr>
          <w:rFonts w:eastAsia="Arial" w:cs="Arial" w:ascii="Arial" w:hAnsi="Arial"/>
          <w:color w:val="000000"/>
          <w:sz w:val="20"/>
          <w:szCs w:val="20"/>
          <w:lang w:val="pt-BR"/>
        </w:rPr>
        <w:t>recusar-se, sem justificativa, a assinar o contrato ou a ata de registro de preço, ou a aceitar ou retirar o instrumento equivalente no prazo estabelecido pela Administração;</w:t>
      </w:r>
    </w:p>
    <w:p>
      <w:pPr>
        <w:pStyle w:val="normal1"/>
        <w:numPr>
          <w:ilvl w:val="2"/>
          <w:numId w:val="1"/>
        </w:numPr>
        <w:spacing w:lineRule="auto" w:line="360" w:before="120" w:after="120"/>
        <w:ind w:firstLine="567" w:start="567"/>
        <w:jc w:val="both"/>
        <w:rPr>
          <w:lang w:val="pt-BR"/>
        </w:rPr>
      </w:pPr>
      <w:bookmarkStart w:id="45" w:name="_heading=h.nmf14n"/>
      <w:bookmarkEnd w:id="45"/>
      <w:r>
        <w:rPr>
          <w:rFonts w:eastAsia="Arial" w:cs="Arial" w:ascii="Arial" w:hAnsi="Arial"/>
          <w:color w:val="000000"/>
          <w:sz w:val="20"/>
          <w:szCs w:val="20"/>
          <w:lang w:val="pt-BR"/>
        </w:rPr>
        <w:t>apresentar declaração ou documentação falsa exigida para o certame ou prestar declaração falsa durante a licitação</w:t>
      </w:r>
    </w:p>
    <w:p>
      <w:pPr>
        <w:pStyle w:val="normal1"/>
        <w:numPr>
          <w:ilvl w:val="2"/>
          <w:numId w:val="1"/>
        </w:numPr>
        <w:spacing w:lineRule="auto" w:line="360" w:before="120" w:after="120"/>
        <w:ind w:firstLine="567" w:start="567"/>
        <w:jc w:val="both"/>
        <w:rPr>
          <w:lang w:val="pt-BR"/>
        </w:rPr>
      </w:pPr>
      <w:bookmarkStart w:id="46" w:name="_heading=h.37m2jsg"/>
      <w:bookmarkEnd w:id="46"/>
      <w:r>
        <w:rPr>
          <w:rFonts w:eastAsia="Arial" w:cs="Arial" w:ascii="Arial" w:hAnsi="Arial"/>
          <w:color w:val="000000"/>
          <w:sz w:val="20"/>
          <w:szCs w:val="20"/>
          <w:lang w:val="pt-BR"/>
        </w:rPr>
        <w:t>fraudar a licitação</w:t>
      </w:r>
    </w:p>
    <w:p>
      <w:pPr>
        <w:pStyle w:val="normal1"/>
        <w:numPr>
          <w:ilvl w:val="2"/>
          <w:numId w:val="1"/>
        </w:numPr>
        <w:spacing w:lineRule="auto" w:line="360" w:before="120" w:after="120"/>
        <w:ind w:firstLine="567" w:start="567"/>
        <w:jc w:val="both"/>
        <w:rPr>
          <w:lang w:val="pt-BR"/>
        </w:rPr>
      </w:pPr>
      <w:bookmarkStart w:id="47" w:name="_heading=h.1mrcu09"/>
      <w:bookmarkEnd w:id="47"/>
      <w:r>
        <w:rPr>
          <w:rFonts w:eastAsia="Arial" w:cs="Arial" w:ascii="Arial" w:hAnsi="Arial"/>
          <w:color w:val="000000"/>
          <w:sz w:val="20"/>
          <w:szCs w:val="20"/>
          <w:lang w:val="pt-BR"/>
        </w:rPr>
        <w:t>comportar-se de modo inidôneo ou cometer fraude de qualquer natureza, em especial quando:</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agir em conluio ou em desconformidade com a lei; </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induzir deliberadamente a erro no julgamento; </w:t>
      </w:r>
    </w:p>
    <w:p>
      <w:pPr>
        <w:pStyle w:val="normal1"/>
        <w:numPr>
          <w:ilvl w:val="3"/>
          <w:numId w:val="1"/>
        </w:numPr>
        <w:spacing w:lineRule="auto" w:line="312" w:before="120" w:after="120"/>
        <w:ind w:firstLine="284" w:start="1276"/>
        <w:jc w:val="both"/>
        <w:rPr>
          <w:lang w:val="pt-BR"/>
        </w:rPr>
      </w:pPr>
      <w:r>
        <w:rPr>
          <w:rFonts w:eastAsia="Arial" w:cs="Arial" w:ascii="Arial" w:hAnsi="Arial"/>
          <w:color w:val="000000"/>
          <w:sz w:val="20"/>
          <w:szCs w:val="20"/>
          <w:lang w:val="pt-BR"/>
        </w:rPr>
        <w:t xml:space="preserve">apresentar amostra falsificada ou deteriorada; </w:t>
      </w:r>
    </w:p>
    <w:p>
      <w:pPr>
        <w:pStyle w:val="normal1"/>
        <w:numPr>
          <w:ilvl w:val="2"/>
          <w:numId w:val="1"/>
        </w:numPr>
        <w:spacing w:lineRule="auto" w:line="360" w:before="120" w:after="120"/>
        <w:ind w:firstLine="567" w:start="567"/>
        <w:jc w:val="both"/>
        <w:rPr>
          <w:lang w:val="pt-BR"/>
        </w:rPr>
      </w:pPr>
      <w:bookmarkStart w:id="48" w:name="_heading=h.46r0co2"/>
      <w:bookmarkEnd w:id="48"/>
      <w:r>
        <w:rPr>
          <w:rFonts w:eastAsia="Arial" w:cs="Arial" w:ascii="Arial" w:hAnsi="Arial"/>
          <w:color w:val="000000"/>
          <w:sz w:val="20"/>
          <w:szCs w:val="20"/>
          <w:lang w:val="pt-BR"/>
        </w:rPr>
        <w:t>praticar atos ilícitos com vistas a frustrar os objetivos da licitação</w:t>
      </w:r>
    </w:p>
    <w:p>
      <w:pPr>
        <w:pStyle w:val="normal1"/>
        <w:numPr>
          <w:ilvl w:val="2"/>
          <w:numId w:val="1"/>
        </w:numPr>
        <w:spacing w:lineRule="auto" w:line="360" w:before="120" w:after="120"/>
        <w:ind w:firstLine="567" w:start="567"/>
        <w:jc w:val="both"/>
        <w:rPr/>
      </w:pPr>
      <w:bookmarkStart w:id="49" w:name="_heading=h.2lwamvv"/>
      <w:bookmarkEnd w:id="49"/>
      <w:r>
        <w:rPr>
          <w:rFonts w:eastAsia="Arial" w:cs="Arial" w:ascii="Arial" w:hAnsi="Arial"/>
          <w:color w:val="000000"/>
          <w:sz w:val="20"/>
          <w:szCs w:val="20"/>
          <w:lang w:val="pt-BR"/>
        </w:rPr>
        <w:t xml:space="preserve">praticar ato lesivo previsto no </w:t>
      </w:r>
      <w:r>
        <w:fldChar w:fldCharType="begin"/>
      </w:r>
      <w:r>
        <w:rPr>
          <w:rStyle w:val="Style3"/>
          <w:rFonts w:eastAsia="Arial" w:cs="Arial" w:ascii="Arial" w:hAnsi="Arial"/>
          <w:color w:val="0000FF"/>
          <w:sz w:val="20"/>
          <w:szCs w:val="20"/>
          <w:u w:val="single"/>
          <w:lang w:val="pt-BR"/>
        </w:rPr>
        <w:instrText xml:space="preserve"> HYPERLINK "https://www.planalto.gov.br/ccivil_03/_ato2011-2014/2013/lei/l12846.htm" \l "art5"</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 5º da Lei n.º 12.846, de 2013</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Com fulcro na </w:t>
      </w:r>
      <w:hyperlink r:id="rId24">
        <w:r>
          <w:rPr>
            <w:rStyle w:val="Style3"/>
            <w:rFonts w:eastAsia="Arial" w:cs="Arial" w:ascii="Arial" w:hAnsi="Arial"/>
            <w:color w:val="0000FF"/>
            <w:sz w:val="20"/>
            <w:szCs w:val="20"/>
            <w:u w:val="single"/>
            <w:lang w:val="pt-BR"/>
          </w:rPr>
          <w:t>Lei nº 14.133, de 2021</w:t>
        </w:r>
      </w:hyperlink>
      <w:r>
        <w:rPr>
          <w:rFonts w:eastAsia="Arial" w:cs="Arial" w:ascii="Arial" w:hAnsi="Arial"/>
          <w:color w:val="000000"/>
          <w:sz w:val="20"/>
          <w:szCs w:val="20"/>
          <w:lang w:val="pt-BR"/>
        </w:rPr>
        <w:t xml:space="preserve">, a Administração poderá, </w:t>
      </w:r>
      <w:r>
        <w:rPr>
          <w:rFonts w:eastAsia="Arial" w:cs="Arial" w:ascii="Arial" w:hAnsi="Arial"/>
          <w:sz w:val="20"/>
          <w:szCs w:val="20"/>
          <w:lang w:val="pt-BR"/>
        </w:rPr>
        <w:t xml:space="preserve">após regular processo administrativo, </w:t>
      </w:r>
      <w:r>
        <w:rPr>
          <w:rFonts w:eastAsia="Arial" w:cs="Arial" w:ascii="Arial" w:hAnsi="Arial"/>
          <w:color w:val="000000"/>
          <w:sz w:val="20"/>
          <w:szCs w:val="20"/>
          <w:lang w:val="pt-BR"/>
        </w:rPr>
        <w:t xml:space="preserve">garantida a prévia defesa, aplicar aos licitantes e/ou adjudicatários as seguintes sanções, sem prejuízo das responsabilidades civil e criminal: </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 xml:space="preserve">advertência; </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multa;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impedimento de licitar e contratar 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declaração de inidoneidade para licitar ou contratar, enquanto perdurarem os motivos determinantes da punição ou até que seja promovida sua reabilitação perante a própria autoridade que aplicou a penalidade.</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Na aplicação das sanções serão considerados: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natureza e a gravidade da infração cometida.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as peculiaridades do caso concreto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as circunstâncias agravantes ou atenuantes</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os danos que dela provierem para a Administração Pública</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a implantação ou o aperfeiçoamento de programa de integridade, conforme normas e orientações dos órgãos de controle.</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A multa será recolhida no prazo máximo de </w:t>
      </w:r>
      <w:r>
        <w:rPr>
          <w:rFonts w:eastAsia="Arial" w:cs="Arial" w:ascii="Arial" w:hAnsi="Arial"/>
          <w:b/>
          <w:bCs/>
          <w:color w:val="1D0FD9"/>
          <w:sz w:val="20"/>
          <w:szCs w:val="20"/>
          <w:lang w:val="pt-BR"/>
        </w:rPr>
        <w:t>30 (trinta) dias</w:t>
      </w:r>
      <w:r>
        <w:rPr>
          <w:rFonts w:eastAsia="Arial" w:cs="Arial" w:ascii="Arial" w:hAnsi="Arial"/>
          <w:color w:val="000000"/>
          <w:sz w:val="20"/>
          <w:szCs w:val="20"/>
          <w:lang w:val="pt-BR"/>
        </w:rPr>
        <w:t xml:space="preserve"> úteis, a contar da comunicação oficial. </w:t>
      </w:r>
    </w:p>
    <w:p>
      <w:pPr>
        <w:pStyle w:val="normal1"/>
        <w:numPr>
          <w:ilvl w:val="2"/>
          <w:numId w:val="1"/>
        </w:numPr>
        <w:spacing w:lineRule="auto" w:line="360" w:before="120" w:after="120"/>
        <w:ind w:firstLine="567" w:start="567"/>
        <w:jc w:val="both"/>
        <w:rPr>
          <w:lang w:val="pt-BR"/>
        </w:rPr>
      </w:pPr>
      <w:bookmarkStart w:id="50" w:name="_heading=h.111kx3o"/>
      <w:bookmarkEnd w:id="50"/>
      <w:r>
        <w:rPr>
          <w:rFonts w:eastAsia="Arial" w:cs="Arial" w:ascii="Arial" w:hAnsi="Arial"/>
          <w:color w:val="000000"/>
          <w:sz w:val="20"/>
          <w:szCs w:val="20"/>
          <w:lang w:val="pt-BR"/>
        </w:rPr>
        <w:t>Para as infrações previstas nos itens</w:t>
      </w:r>
      <w:r>
        <w:rPr>
          <w:rFonts w:eastAsia="Arial" w:cs="Arial" w:ascii="Arial" w:hAnsi="Arial"/>
          <w:color w:val="000000"/>
          <w:sz w:val="20"/>
          <w:szCs w:val="20"/>
          <w:shd w:fill="auto" w:val="clear"/>
          <w:lang w:val="pt-BR"/>
        </w:rPr>
        <w:t xml:space="preserve"> 1</w:t>
      </w:r>
      <w:r>
        <w:rPr>
          <w:rFonts w:eastAsia="Arial" w:cs="Arial" w:ascii="Arial" w:hAnsi="Arial"/>
          <w:sz w:val="20"/>
          <w:szCs w:val="20"/>
          <w:shd w:fill="auto" w:val="clear"/>
          <w:lang w:val="pt-BR"/>
        </w:rPr>
        <w:t>3</w:t>
      </w:r>
      <w:r>
        <w:rPr>
          <w:rFonts w:eastAsia="Arial" w:cs="Arial" w:ascii="Arial" w:hAnsi="Arial"/>
          <w:color w:val="000000"/>
          <w:sz w:val="20"/>
          <w:szCs w:val="20"/>
          <w:shd w:fill="auto" w:val="clear"/>
          <w:lang w:val="pt-BR"/>
        </w:rPr>
        <w:t>.1.1, 1</w:t>
      </w:r>
      <w:r>
        <w:rPr>
          <w:rFonts w:eastAsia="Arial" w:cs="Arial" w:ascii="Arial" w:hAnsi="Arial"/>
          <w:sz w:val="20"/>
          <w:szCs w:val="20"/>
          <w:shd w:fill="auto" w:val="clear"/>
          <w:lang w:val="pt-BR"/>
        </w:rPr>
        <w:t>3</w:t>
      </w:r>
      <w:r>
        <w:rPr>
          <w:rFonts w:eastAsia="Arial" w:cs="Arial" w:ascii="Arial" w:hAnsi="Arial"/>
          <w:color w:val="000000"/>
          <w:sz w:val="20"/>
          <w:szCs w:val="20"/>
          <w:shd w:fill="auto" w:val="clear"/>
          <w:lang w:val="pt-BR"/>
        </w:rPr>
        <w:t>.1.2 e 1</w:t>
      </w:r>
      <w:r>
        <w:rPr>
          <w:rFonts w:eastAsia="Arial" w:cs="Arial" w:ascii="Arial" w:hAnsi="Arial"/>
          <w:sz w:val="20"/>
          <w:szCs w:val="20"/>
          <w:shd w:fill="auto" w:val="clear"/>
          <w:lang w:val="pt-BR"/>
        </w:rPr>
        <w:t>3</w:t>
      </w:r>
      <w:r>
        <w:rPr>
          <w:rFonts w:eastAsia="Arial" w:cs="Arial" w:ascii="Arial" w:hAnsi="Arial"/>
          <w:color w:val="000000"/>
          <w:sz w:val="20"/>
          <w:szCs w:val="20"/>
          <w:shd w:fill="auto" w:val="clear"/>
          <w:lang w:val="pt-BR"/>
        </w:rPr>
        <w:t xml:space="preserve">.1.3, </w:t>
      </w:r>
      <w:r>
        <w:rPr>
          <w:rFonts w:eastAsia="Arial" w:cs="Arial" w:ascii="Arial" w:hAnsi="Arial"/>
          <w:color w:val="000000"/>
          <w:sz w:val="20"/>
          <w:szCs w:val="20"/>
          <w:lang w:val="pt-BR"/>
        </w:rPr>
        <w:t xml:space="preserve">a multa será de </w:t>
      </w:r>
      <w:r>
        <w:rPr>
          <w:rFonts w:eastAsia="Arial" w:cs="Arial" w:ascii="Arial" w:hAnsi="Arial"/>
          <w:color w:val="0000FF"/>
          <w:sz w:val="20"/>
          <w:szCs w:val="20"/>
          <w:lang w:val="pt-BR"/>
        </w:rPr>
        <w:t xml:space="preserve">1% (um por cento) </w:t>
      </w:r>
      <w:r>
        <w:rPr>
          <w:rFonts w:eastAsia="Arial" w:cs="Arial" w:ascii="Arial" w:hAnsi="Arial"/>
          <w:color w:val="000000"/>
          <w:sz w:val="20"/>
          <w:szCs w:val="20"/>
          <w:lang w:val="pt-BR"/>
        </w:rPr>
        <w:t>do valor do contrato licitado.</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Para as infrações previstas nos itens 1</w:t>
      </w:r>
      <w:r>
        <w:rPr>
          <w:rFonts w:eastAsia="Arial" w:cs="Arial" w:ascii="Arial" w:hAnsi="Arial"/>
          <w:sz w:val="20"/>
          <w:szCs w:val="20"/>
          <w:lang w:val="pt-BR"/>
        </w:rPr>
        <w:t>3</w:t>
      </w:r>
      <w:r>
        <w:rPr>
          <w:rFonts w:eastAsia="Arial" w:cs="Arial" w:ascii="Arial" w:hAnsi="Arial"/>
          <w:color w:val="000000"/>
          <w:sz w:val="20"/>
          <w:szCs w:val="20"/>
          <w:lang w:val="pt-BR"/>
        </w:rPr>
        <w:t>.1.4, 1</w:t>
      </w:r>
      <w:r>
        <w:rPr>
          <w:rFonts w:eastAsia="Arial" w:cs="Arial" w:ascii="Arial" w:hAnsi="Arial"/>
          <w:sz w:val="20"/>
          <w:szCs w:val="20"/>
          <w:lang w:val="pt-BR"/>
        </w:rPr>
        <w:t>3</w:t>
      </w:r>
      <w:r>
        <w:rPr>
          <w:rFonts w:eastAsia="Arial" w:cs="Arial" w:ascii="Arial" w:hAnsi="Arial"/>
          <w:color w:val="000000"/>
          <w:sz w:val="20"/>
          <w:szCs w:val="20"/>
          <w:lang w:val="pt-BR"/>
        </w:rPr>
        <w:t>.1.5, 1</w:t>
      </w:r>
      <w:r>
        <w:rPr>
          <w:rFonts w:eastAsia="Arial" w:cs="Arial" w:ascii="Arial" w:hAnsi="Arial"/>
          <w:sz w:val="20"/>
          <w:szCs w:val="20"/>
          <w:lang w:val="pt-BR"/>
        </w:rPr>
        <w:t>3</w:t>
      </w:r>
      <w:r>
        <w:rPr>
          <w:rFonts w:eastAsia="Arial" w:cs="Arial" w:ascii="Arial" w:hAnsi="Arial"/>
          <w:color w:val="000000"/>
          <w:sz w:val="20"/>
          <w:szCs w:val="20"/>
          <w:lang w:val="pt-BR"/>
        </w:rPr>
        <w:t>.1.6, 1</w:t>
      </w:r>
      <w:r>
        <w:rPr>
          <w:rFonts w:eastAsia="Arial" w:cs="Arial" w:ascii="Arial" w:hAnsi="Arial"/>
          <w:sz w:val="20"/>
          <w:szCs w:val="20"/>
          <w:lang w:val="pt-BR"/>
        </w:rPr>
        <w:t>3</w:t>
      </w:r>
      <w:r>
        <w:rPr>
          <w:rFonts w:eastAsia="Arial" w:cs="Arial" w:ascii="Arial" w:hAnsi="Arial"/>
          <w:color w:val="000000"/>
          <w:sz w:val="20"/>
          <w:szCs w:val="20"/>
          <w:lang w:val="pt-BR"/>
        </w:rPr>
        <w:t>.1.7 e 1</w:t>
      </w:r>
      <w:r>
        <w:rPr>
          <w:rFonts w:eastAsia="Arial" w:cs="Arial" w:ascii="Arial" w:hAnsi="Arial"/>
          <w:sz w:val="20"/>
          <w:szCs w:val="20"/>
          <w:lang w:val="pt-BR"/>
        </w:rPr>
        <w:t>3</w:t>
      </w:r>
      <w:r>
        <w:rPr>
          <w:rFonts w:eastAsia="Arial" w:cs="Arial" w:ascii="Arial" w:hAnsi="Arial"/>
          <w:color w:val="000000"/>
          <w:sz w:val="20"/>
          <w:szCs w:val="20"/>
          <w:lang w:val="pt-BR"/>
        </w:rPr>
        <w:t xml:space="preserve">.1.8, a multa será de </w:t>
      </w:r>
      <w:r>
        <w:rPr>
          <w:rFonts w:eastAsia="Arial" w:cs="Arial" w:ascii="Arial" w:hAnsi="Arial"/>
          <w:color w:val="0000FF"/>
          <w:sz w:val="20"/>
          <w:szCs w:val="20"/>
          <w:lang w:val="pt-BR"/>
        </w:rPr>
        <w:t xml:space="preserve">15% (quinze por cento) </w:t>
      </w:r>
      <w:r>
        <w:rPr>
          <w:rFonts w:eastAsia="Arial" w:cs="Arial" w:ascii="Arial" w:hAnsi="Arial"/>
          <w:color w:val="000000"/>
          <w:sz w:val="20"/>
          <w:szCs w:val="20"/>
          <w:lang w:val="pt-BR"/>
        </w:rPr>
        <w:t>do valor do contrato licitado.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As sanções de advertência, impedimento de licitar e contratar e declaração de inidoneidade para licitar ou contratar poderão ser aplicadas, cumulativamente ou não, à penalidade de multa.</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Na aplicação da sanção de multa será facultada a defesa do interessado no prazo de 15 (quinze) dias úteis, contado da data de sua intimação.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A sanção de impedimento de licitar e contratar será aplicada ao responsável em decorrência das infrações administrativas relacionadas nos itens </w:t>
      </w:r>
      <w:r>
        <w:rPr>
          <w:rFonts w:eastAsia="Arial" w:cs="Arial" w:ascii="Arial" w:hAnsi="Arial"/>
          <w:sz w:val="20"/>
          <w:szCs w:val="20"/>
          <w:lang w:val="pt-BR"/>
        </w:rPr>
        <w:t>13</w:t>
      </w:r>
      <w:r>
        <w:rPr>
          <w:rFonts w:eastAsia="Arial" w:cs="Arial" w:ascii="Arial" w:hAnsi="Arial"/>
          <w:color w:val="000000"/>
          <w:sz w:val="20"/>
          <w:szCs w:val="20"/>
          <w:lang w:val="pt-BR"/>
        </w:rPr>
        <w:t xml:space="preserve">.1.1, </w:t>
      </w:r>
      <w:r>
        <w:rPr>
          <w:rFonts w:eastAsia="Arial" w:cs="Arial" w:ascii="Arial" w:hAnsi="Arial"/>
          <w:sz w:val="20"/>
          <w:szCs w:val="20"/>
          <w:lang w:val="pt-BR"/>
        </w:rPr>
        <w:t>13</w:t>
      </w:r>
      <w:r>
        <w:rPr>
          <w:rFonts w:eastAsia="Arial" w:cs="Arial" w:ascii="Arial" w:hAnsi="Arial"/>
          <w:color w:val="000000"/>
          <w:sz w:val="20"/>
          <w:szCs w:val="20"/>
          <w:lang w:val="pt-BR"/>
        </w:rPr>
        <w:t xml:space="preserve">.1.2 e </w:t>
      </w:r>
      <w:r>
        <w:rPr>
          <w:rFonts w:eastAsia="Arial" w:cs="Arial" w:ascii="Arial" w:hAnsi="Arial"/>
          <w:sz w:val="20"/>
          <w:szCs w:val="20"/>
          <w:lang w:val="pt-BR"/>
        </w:rPr>
        <w:t>13</w:t>
      </w:r>
      <w:r>
        <w:rPr>
          <w:rFonts w:eastAsia="Arial" w:cs="Arial" w:ascii="Arial" w:hAnsi="Arial"/>
          <w:color w:val="000000"/>
          <w:sz w:val="20"/>
          <w:szCs w:val="20"/>
          <w:lang w:val="pt-BR"/>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ormal1"/>
        <w:numPr>
          <w:ilvl w:val="1"/>
          <w:numId w:val="1"/>
        </w:numPr>
        <w:spacing w:lineRule="auto" w:line="312" w:before="288" w:after="288"/>
        <w:ind w:firstLine="567" w:start="0"/>
        <w:jc w:val="both"/>
        <w:rPr/>
      </w:pPr>
      <w:bookmarkStart w:id="51" w:name="_heading=h.fw0h7qx85ebb"/>
      <w:bookmarkEnd w:id="51"/>
      <w:r>
        <w:rPr>
          <w:rFonts w:eastAsia="Arial" w:cs="Arial" w:ascii="Arial" w:hAnsi="Arial"/>
          <w:color w:val="000000"/>
          <w:sz w:val="20"/>
          <w:szCs w:val="20"/>
          <w:lang w:val="pt-BR"/>
        </w:rPr>
        <w:t xml:space="preserve">Poderá ser aplicada ao responsável a sanção de declaração de inidoneidade para licitar ou contratar, em decorrência da prática das infrações dispostas nos itens </w:t>
      </w:r>
      <w:r>
        <w:rPr>
          <w:rFonts w:eastAsia="Arial" w:cs="Arial" w:ascii="Arial" w:hAnsi="Arial"/>
          <w:sz w:val="20"/>
          <w:szCs w:val="20"/>
          <w:lang w:val="pt-BR"/>
        </w:rPr>
        <w:t>13</w:t>
      </w:r>
      <w:r>
        <w:rPr>
          <w:rFonts w:eastAsia="Arial" w:cs="Arial" w:ascii="Arial" w:hAnsi="Arial"/>
          <w:color w:val="000000"/>
          <w:sz w:val="20"/>
          <w:szCs w:val="20"/>
          <w:lang w:val="pt-BR"/>
        </w:rPr>
        <w:t>.1.4, 1</w:t>
      </w:r>
      <w:r>
        <w:rPr>
          <w:rFonts w:eastAsia="Arial" w:cs="Arial" w:ascii="Arial" w:hAnsi="Arial"/>
          <w:sz w:val="20"/>
          <w:szCs w:val="20"/>
          <w:lang w:val="pt-BR"/>
        </w:rPr>
        <w:t>3</w:t>
      </w:r>
      <w:r>
        <w:rPr>
          <w:rFonts w:eastAsia="Arial" w:cs="Arial" w:ascii="Arial" w:hAnsi="Arial"/>
          <w:color w:val="000000"/>
          <w:sz w:val="20"/>
          <w:szCs w:val="20"/>
          <w:lang w:val="pt-BR"/>
        </w:rPr>
        <w:t>.1.5, 1</w:t>
      </w:r>
      <w:r>
        <w:rPr>
          <w:rFonts w:eastAsia="Arial" w:cs="Arial" w:ascii="Arial" w:hAnsi="Arial"/>
          <w:sz w:val="20"/>
          <w:szCs w:val="20"/>
          <w:lang w:val="pt-BR"/>
        </w:rPr>
        <w:t>3</w:t>
      </w:r>
      <w:r>
        <w:rPr>
          <w:rFonts w:eastAsia="Arial" w:cs="Arial" w:ascii="Arial" w:hAnsi="Arial"/>
          <w:color w:val="000000"/>
          <w:sz w:val="20"/>
          <w:szCs w:val="20"/>
          <w:lang w:val="pt-BR"/>
        </w:rPr>
        <w:t>.1.6, 1</w:t>
      </w:r>
      <w:r>
        <w:rPr>
          <w:rFonts w:eastAsia="Arial" w:cs="Arial" w:ascii="Arial" w:hAnsi="Arial"/>
          <w:sz w:val="20"/>
          <w:szCs w:val="20"/>
          <w:lang w:val="pt-BR"/>
        </w:rPr>
        <w:t>3</w:t>
      </w:r>
      <w:r>
        <w:rPr>
          <w:rFonts w:eastAsia="Arial" w:cs="Arial" w:ascii="Arial" w:hAnsi="Arial"/>
          <w:color w:val="000000"/>
          <w:sz w:val="20"/>
          <w:szCs w:val="20"/>
          <w:lang w:val="pt-BR"/>
        </w:rPr>
        <w:t>.1.7 e 1</w:t>
      </w:r>
      <w:r>
        <w:rPr>
          <w:rFonts w:eastAsia="Arial" w:cs="Arial" w:ascii="Arial" w:hAnsi="Arial"/>
          <w:sz w:val="20"/>
          <w:szCs w:val="20"/>
          <w:lang w:val="pt-BR"/>
        </w:rPr>
        <w:t>3</w:t>
      </w:r>
      <w:r>
        <w:rPr>
          <w:rFonts w:eastAsia="Arial" w:cs="Arial" w:ascii="Arial" w:hAnsi="Arial"/>
          <w:color w:val="000000"/>
          <w:sz w:val="20"/>
          <w:szCs w:val="20"/>
          <w:lang w:val="pt-BR"/>
        </w:rPr>
        <w:t>.1.8, bem como pelas infrações administrativas previstas nos itens 1</w:t>
      </w:r>
      <w:r>
        <w:rPr>
          <w:rFonts w:eastAsia="Arial" w:cs="Arial" w:ascii="Arial" w:hAnsi="Arial"/>
          <w:sz w:val="20"/>
          <w:szCs w:val="20"/>
          <w:lang w:val="pt-BR"/>
        </w:rPr>
        <w:t>3</w:t>
      </w:r>
      <w:r>
        <w:rPr>
          <w:rFonts w:eastAsia="Arial" w:cs="Arial" w:ascii="Arial" w:hAnsi="Arial"/>
          <w:color w:val="000000"/>
          <w:sz w:val="20"/>
          <w:szCs w:val="20"/>
          <w:lang w:val="pt-BR"/>
        </w:rPr>
        <w:t>.1.1, 1</w:t>
      </w:r>
      <w:r>
        <w:rPr>
          <w:rFonts w:eastAsia="Arial" w:cs="Arial" w:ascii="Arial" w:hAnsi="Arial"/>
          <w:sz w:val="20"/>
          <w:szCs w:val="20"/>
          <w:lang w:val="pt-BR"/>
        </w:rPr>
        <w:t>3</w:t>
      </w:r>
      <w:r>
        <w:rPr>
          <w:rFonts w:eastAsia="Arial" w:cs="Arial" w:ascii="Arial" w:hAnsi="Arial"/>
          <w:color w:val="000000"/>
          <w:sz w:val="20"/>
          <w:szCs w:val="20"/>
          <w:lang w:val="pt-BR"/>
        </w:rPr>
        <w:t>.1.2, 1</w:t>
      </w:r>
      <w:r>
        <w:rPr>
          <w:rFonts w:eastAsia="Arial" w:cs="Arial" w:ascii="Arial" w:hAnsi="Arial"/>
          <w:sz w:val="20"/>
          <w:szCs w:val="20"/>
          <w:lang w:val="pt-BR"/>
        </w:rPr>
        <w:t>3</w:t>
      </w:r>
      <w:r>
        <w:rPr>
          <w:rFonts w:eastAsia="Arial" w:cs="Arial" w:ascii="Arial" w:hAnsi="Arial"/>
          <w:color w:val="000000"/>
          <w:sz w:val="20"/>
          <w:szCs w:val="20"/>
          <w:lang w:val="pt-BR"/>
        </w:rPr>
        <w:t>.1.3 e 1</w:t>
      </w:r>
      <w:r>
        <w:rPr>
          <w:rFonts w:eastAsia="Arial" w:cs="Arial" w:ascii="Arial" w:hAnsi="Arial"/>
          <w:sz w:val="20"/>
          <w:szCs w:val="20"/>
          <w:lang w:val="pt-BR"/>
        </w:rPr>
        <w:t>3</w:t>
      </w:r>
      <w:r>
        <w:rPr>
          <w:rFonts w:eastAsia="Arial" w:cs="Arial" w:ascii="Arial" w:hAnsi="Arial"/>
          <w:color w:val="000000"/>
          <w:sz w:val="20"/>
          <w:szCs w:val="20"/>
          <w:lang w:val="pt-BR"/>
        </w:rPr>
        <w:t xml:space="preserve">.1.4 que justifiquem a imposição de penalidade mais grave que a sanção de impedimento de licitar e contratar, cuja duração observará o prazo previsto no </w:t>
      </w:r>
      <w:r>
        <w:fldChar w:fldCharType="begin"/>
      </w:r>
      <w:r>
        <w:rPr>
          <w:rStyle w:val="Style3"/>
          <w:rFonts w:eastAsia="Arial" w:cs="Arial" w:ascii="Arial" w:hAnsi="Arial"/>
          <w:color w:val="0000FF"/>
          <w:sz w:val="20"/>
          <w:szCs w:val="20"/>
          <w:u w:val="single"/>
          <w:lang w:val="pt-BR"/>
        </w:rPr>
        <w:instrText xml:space="preserve"> HYPERLINK "http://www.planalto.gov.br/ccivil_03/_ato2019-2022/2021/lei/L14133.htm" \l "art156%C2%A75"</w:instrText>
      </w:r>
      <w:r>
        <w:rPr>
          <w:rStyle w:val="Style3"/>
          <w:rFonts w:eastAsia="Arial" w:cs="Arial" w:ascii="Arial" w:hAnsi="Arial"/>
          <w:color w:val="0000FF"/>
          <w:sz w:val="20"/>
          <w:szCs w:val="20"/>
          <w:u w:val="single"/>
          <w:lang w:val="pt-BR"/>
        </w:rPr>
        <w:fldChar w:fldCharType="separate"/>
      </w:r>
      <w:r>
        <w:rPr>
          <w:rStyle w:val="Style3"/>
          <w:rFonts w:eastAsia="Arial" w:cs="Arial" w:ascii="Arial" w:hAnsi="Arial"/>
          <w:color w:val="0000FF"/>
          <w:sz w:val="20"/>
          <w:szCs w:val="20"/>
          <w:u w:val="single"/>
          <w:lang w:val="pt-BR"/>
        </w:rPr>
        <w:t>art. 156, §5º, da Lei n.º 14.133/2021</w:t>
      </w:r>
      <w:r>
        <w:rPr>
          <w:rStyle w:val="Style3"/>
          <w:rFonts w:eastAsia="Arial" w:cs="Arial" w:ascii="Arial" w:hAnsi="Arial"/>
          <w:color w:val="0000FF"/>
          <w:sz w:val="20"/>
          <w:szCs w:val="20"/>
          <w:u w:val="single"/>
          <w:lang w:val="pt-BR"/>
        </w:rPr>
        <w:fldChar w:fldCharType="end"/>
      </w:r>
      <w:r>
        <w:rPr>
          <w:rFonts w:eastAsia="Arial" w:cs="Arial" w:ascii="Arial" w:hAnsi="Arial"/>
          <w:color w:val="000000"/>
          <w:sz w:val="20"/>
          <w:szCs w:val="20"/>
          <w:lang w:val="pt-BR"/>
        </w:rPr>
        <w:t>.</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A recusa injustificada do adjudicatário em assinar o contrato ou a ata de registro de preço, ou em aceitar ou retirar o instrumento equivalente no prazo estabelecido pela Administração, descrita no item </w:t>
      </w:r>
      <w:r>
        <w:rPr>
          <w:rFonts w:eastAsia="Arial" w:cs="Arial" w:ascii="Arial" w:hAnsi="Arial"/>
          <w:sz w:val="20"/>
          <w:szCs w:val="20"/>
          <w:lang w:val="pt-BR"/>
        </w:rPr>
        <w:t>13</w:t>
      </w:r>
      <w:r>
        <w:rPr>
          <w:rFonts w:eastAsia="Arial" w:cs="Arial" w:ascii="Arial" w:hAnsi="Arial"/>
          <w:color w:val="000000"/>
          <w:sz w:val="20"/>
          <w:szCs w:val="20"/>
          <w:lang w:val="pt-BR"/>
        </w:rPr>
        <w:t xml:space="preserve">.1.3, caracterizará o descumprimento total da obrigação assumida e o sujeitará às penalidades e à imediata perda da garantia de proposta em favor do órgão ou entidade promotora da licitação, nos termos do </w:t>
      </w:r>
      <w:hyperlink r:id="rId25">
        <w:r>
          <w:rPr>
            <w:rStyle w:val="Style3"/>
            <w:rFonts w:eastAsia="Arial" w:cs="Arial" w:ascii="Arial" w:hAnsi="Arial"/>
            <w:color w:val="0000FF"/>
            <w:sz w:val="20"/>
            <w:szCs w:val="20"/>
            <w:u w:val="single"/>
            <w:lang w:val="pt-BR"/>
          </w:rPr>
          <w:t>art. 45, §4º da IN SEGES/ME n.º 73, de 2022</w:t>
        </w:r>
      </w:hyperlink>
      <w:r>
        <w:rPr>
          <w:rFonts w:eastAsia="Arial" w:cs="Arial" w:ascii="Arial" w:hAnsi="Arial"/>
          <w:color w:val="000000"/>
          <w:sz w:val="20"/>
          <w:szCs w:val="20"/>
          <w:lang w:val="pt-BR"/>
        </w:rPr>
        <w:t xml:space="preserve">.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ormal1"/>
        <w:numPr>
          <w:ilvl w:val="1"/>
          <w:numId w:val="1"/>
        </w:numPr>
        <w:spacing w:lineRule="auto" w:line="312" w:before="288" w:after="288"/>
        <w:ind w:firstLine="567" w:start="0"/>
        <w:jc w:val="both"/>
        <w:rPr>
          <w:lang w:val="pt-BR"/>
        </w:rPr>
      </w:pPr>
      <w:bookmarkStart w:id="52" w:name="_heading=h.17dp8vu"/>
      <w:bookmarkEnd w:id="52"/>
      <w:r>
        <w:rPr>
          <w:rFonts w:eastAsia="Arial" w:cs="Arial" w:ascii="Arial" w:hAnsi="Arial"/>
          <w:color w:val="000000"/>
          <w:sz w:val="20"/>
          <w:szCs w:val="20"/>
          <w:lang w:val="pt-BR"/>
        </w:rPr>
        <w:t>O recurso e o pedido de reconsideração terão efeito suspensivo do ato ou da decisão recorrida até que sobrevenha decisão final da autoridade competente.</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aplicação das sanções previstas neste edital não exclui, em hipótese alguma, a obrigação de reparação integral dos danos causados.</w:t>
      </w:r>
    </w:p>
    <w:p>
      <w:pPr>
        <w:pStyle w:val="normal1"/>
        <w:numPr>
          <w:ilvl w:val="1"/>
          <w:numId w:val="1"/>
        </w:numPr>
        <w:spacing w:lineRule="auto" w:line="312" w:before="288" w:after="288"/>
        <w:ind w:firstLine="567" w:start="0"/>
        <w:jc w:val="both"/>
        <w:rPr>
          <w:lang w:val="pt-BR"/>
        </w:rPr>
      </w:pPr>
      <w:r>
        <w:rPr>
          <w:rFonts w:eastAsia="Arial" w:cs="Arial" w:ascii="Arial" w:hAnsi="Arial"/>
          <w:sz w:val="20"/>
          <w:szCs w:val="20"/>
          <w:highlight w:val="white"/>
          <w:lang w:val="pt-BR"/>
        </w:rPr>
        <w:t>Para a garantia da ampla defesa e contraditório dos licitantes, as notificações serão enviadas eletronicamente para os endereços de e-mail informados na proposta comercial, bem como os cadastrados pela empresa no SICAF.</w:t>
      </w:r>
    </w:p>
    <w:p>
      <w:pPr>
        <w:pStyle w:val="normal1"/>
        <w:numPr>
          <w:ilvl w:val="2"/>
          <w:numId w:val="1"/>
        </w:numPr>
        <w:spacing w:lineRule="auto" w:line="360" w:before="120" w:after="120"/>
        <w:ind w:firstLine="567" w:start="567"/>
        <w:jc w:val="both"/>
        <w:rPr>
          <w:lang w:val="pt-BR"/>
        </w:rPr>
      </w:pPr>
      <w:r>
        <w:rPr>
          <w:rFonts w:eastAsia="Arial" w:cs="Arial" w:ascii="Arial" w:hAnsi="Arial"/>
          <w:sz w:val="20"/>
          <w:szCs w:val="20"/>
          <w:highlight w:val="white"/>
          <w:lang w:val="pt-BR"/>
        </w:rPr>
        <w:t>Os endereços de e-mail informados na proposta comercial e/ou cadastrados no Sicaf serão considerados de uso contínuo da empresa, não cabendo alegação de desconhecimento das comunicações a eles comprovadamente enviadas.</w:t>
      </w:r>
    </w:p>
    <w:p>
      <w:pPr>
        <w:pStyle w:val="normal1"/>
        <w:spacing w:lineRule="auto" w:line="312" w:before="288" w:after="288"/>
        <w:ind w:hanging="0" w:start="567"/>
        <w:jc w:val="both"/>
        <w:rPr>
          <w:rFonts w:ascii="Arial" w:hAnsi="Arial" w:eastAsia="Arial" w:cs="Arial"/>
          <w:color w:val="000000"/>
          <w:sz w:val="20"/>
          <w:szCs w:val="20"/>
          <w:lang w:val="pt-BR"/>
        </w:rPr>
      </w:pPr>
      <w:r>
        <w:rPr>
          <w:rFonts w:eastAsia="Arial" w:cs="Arial" w:ascii="Arial" w:hAnsi="Arial"/>
          <w:color w:val="000000"/>
          <w:sz w:val="20"/>
          <w:szCs w:val="20"/>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53" w:name="_heading=h.bmvs8672rirw"/>
      <w:bookmarkEnd w:id="53"/>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 IMPUGNAÇÃO AO EDITAL E DO PEDIDO DE ESCLARECIMENTO</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Qualquer pessoa é parte legítima para impugnar este Edital por irregularidade na aplicação da </w:t>
      </w:r>
      <w:hyperlink r:id="rId26">
        <w:r>
          <w:rPr>
            <w:rStyle w:val="Style3"/>
            <w:rFonts w:eastAsia="Arial" w:cs="Arial" w:ascii="Arial" w:hAnsi="Arial"/>
            <w:color w:val="0000FF"/>
            <w:sz w:val="20"/>
            <w:szCs w:val="20"/>
            <w:u w:val="single"/>
            <w:lang w:val="pt-BR"/>
          </w:rPr>
          <w:t>Lei nº 14.133, de 2021</w:t>
        </w:r>
      </w:hyperlink>
      <w:r>
        <w:rPr>
          <w:rFonts w:eastAsia="Arial" w:cs="Arial" w:ascii="Arial" w:hAnsi="Arial"/>
          <w:color w:val="000000"/>
          <w:sz w:val="20"/>
          <w:szCs w:val="20"/>
          <w:lang w:val="pt-BR"/>
        </w:rPr>
        <w:t>, devendo protocolar o pedido até 3 (três) dias úteis antes da data da abertura do certame.</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resposta à impugnação ou ao pedido de esclarecimento será divulgado em sítio eletrônico oficial no prazo de até 3 (três) dias úteis, limitado ao último dia útil anterior à data da abertura do certame.</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 xml:space="preserve">As impugnações e os pedidos de esclarecimento poderão ser realizados por forma eletrônica, pelo e-mail </w:t>
      </w:r>
      <w:hyperlink r:id="rId27">
        <w:r>
          <w:rPr>
            <w:rStyle w:val="Style3"/>
            <w:rFonts w:eastAsia="Arial" w:cs="Arial" w:ascii="Arial" w:hAnsi="Arial"/>
            <w:b/>
            <w:bCs/>
            <w:color w:val="0000FF"/>
            <w:sz w:val="20"/>
            <w:szCs w:val="20"/>
            <w:u w:val="single"/>
            <w:lang w:val="pt-BR"/>
          </w:rPr>
          <w:t>cpl@id.uff.br</w:t>
        </w:r>
      </w:hyperlink>
      <w:r>
        <w:rPr>
          <w:rFonts w:eastAsia="Arial" w:cs="Arial" w:ascii="Arial" w:hAnsi="Arial"/>
          <w:b/>
          <w:bCs/>
          <w:color w:val="0000FF"/>
          <w:sz w:val="20"/>
          <w:szCs w:val="20"/>
          <w:u w:val="single"/>
          <w:lang w:val="pt-BR"/>
        </w:rPr>
        <w:t>.</w:t>
      </w:r>
    </w:p>
    <w:p>
      <w:pPr>
        <w:pStyle w:val="normal1"/>
        <w:numPr>
          <w:ilvl w:val="1"/>
          <w:numId w:val="1"/>
        </w:numPr>
        <w:spacing w:lineRule="auto" w:line="360" w:before="120" w:after="120"/>
        <w:ind w:firstLine="567" w:start="0"/>
        <w:jc w:val="both"/>
        <w:rPr>
          <w:lang w:val="pt-BR"/>
        </w:rPr>
      </w:pPr>
      <w:r>
        <w:rPr>
          <w:rFonts w:eastAsia="Arial" w:cs="Arial" w:ascii="Arial" w:hAnsi="Arial"/>
          <w:color w:val="000000"/>
          <w:sz w:val="20"/>
          <w:szCs w:val="20"/>
          <w:lang w:val="pt-BR"/>
        </w:rPr>
        <w:t>As impugnações e pedidos de esclarecimentos não suspendem os prazos previstos no certame.</w:t>
      </w:r>
    </w:p>
    <w:p>
      <w:pPr>
        <w:pStyle w:val="normal1"/>
        <w:numPr>
          <w:ilvl w:val="2"/>
          <w:numId w:val="1"/>
        </w:numPr>
        <w:spacing w:lineRule="auto" w:line="360" w:before="120" w:after="120"/>
        <w:ind w:firstLine="567" w:start="567"/>
        <w:jc w:val="both"/>
        <w:rPr>
          <w:lang w:val="pt-BR"/>
        </w:rPr>
      </w:pPr>
      <w:r>
        <w:rPr>
          <w:rFonts w:eastAsia="Arial" w:cs="Arial" w:ascii="Arial" w:hAnsi="Arial"/>
          <w:color w:val="000000"/>
          <w:sz w:val="20"/>
          <w:szCs w:val="20"/>
          <w:lang w:val="pt-BR"/>
        </w:rPr>
        <w:t xml:space="preserve">A concessão de efeito suspensivo à impugnação é medida excepcional e deverá ser motivada pelo </w:t>
      </w:r>
      <w:r>
        <w:rPr>
          <w:rFonts w:eastAsia="Arial" w:cs="Arial" w:ascii="Arial" w:hAnsi="Arial"/>
          <w:sz w:val="20"/>
          <w:szCs w:val="20"/>
          <w:lang w:val="pt-BR"/>
        </w:rPr>
        <w:t>pregoeiro</w:t>
      </w:r>
      <w:r>
        <w:rPr>
          <w:rFonts w:eastAsia="Arial" w:cs="Arial" w:ascii="Arial" w:hAnsi="Arial"/>
          <w:color w:val="000000"/>
          <w:sz w:val="20"/>
          <w:szCs w:val="20"/>
          <w:lang w:val="pt-BR"/>
        </w:rPr>
        <w:t>, nos autos do processo de licitação.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Acolhida a impugnação, será definida e publicada nova data para a realização do certame.</w:t>
      </w:r>
    </w:p>
    <w:p>
      <w:pPr>
        <w:pStyle w:val="normal1"/>
        <w:spacing w:lineRule="auto" w:line="312" w:before="288" w:after="288"/>
        <w:ind w:hanging="0" w:start="567"/>
        <w:jc w:val="both"/>
        <w:rPr>
          <w:rFonts w:ascii="Arial" w:hAnsi="Arial" w:eastAsia="Arial" w:cs="Arial"/>
          <w:color w:val="000000"/>
          <w:sz w:val="20"/>
          <w:szCs w:val="20"/>
          <w:lang w:val="pt-BR"/>
        </w:rPr>
      </w:pPr>
      <w:r>
        <w:rPr>
          <w:rFonts w:eastAsia="Arial" w:cs="Arial" w:ascii="Arial" w:hAnsi="Arial"/>
          <w:color w:val="000000"/>
          <w:sz w:val="20"/>
          <w:szCs w:val="20"/>
          <w:lang w:val="pt-BR"/>
        </w:rPr>
      </w:r>
    </w:p>
    <w:p>
      <w:pPr>
        <w:pStyle w:val="normal1"/>
        <w:keepNext w:val="true"/>
        <w:keepLines/>
        <w:pageBreakBefore w:val="false"/>
        <w:widowControl/>
        <w:numPr>
          <w:ilvl w:val="0"/>
          <w:numId w:val="1"/>
        </w:numPr>
        <w:shd w:val="clear" w:fill="auto"/>
        <w:tabs>
          <w:tab w:val="clear" w:pos="720"/>
          <w:tab w:val="left" w:pos="567" w:leader="none"/>
        </w:tabs>
        <w:spacing w:lineRule="auto" w:line="312" w:before="288" w:after="288"/>
        <w:ind w:hanging="360" w:start="360" w:end="0"/>
        <w:jc w:val="both"/>
        <w:rPr>
          <w:lang w:val="pt-BR"/>
        </w:rPr>
      </w:pPr>
      <w:bookmarkStart w:id="54" w:name="_heading=h.bj6p49xrkn6t"/>
      <w:bookmarkEnd w:id="54"/>
      <w:r>
        <w:rPr>
          <w:rFonts w:eastAsia="Arial" w:cs="Arial" w:ascii="Arial" w:hAnsi="Arial"/>
          <w:b/>
          <w:bCs/>
          <w:i w:val="false"/>
          <w:iCs w:val="false"/>
          <w:caps w:val="false"/>
          <w:smallCaps w:val="false"/>
          <w:strike w:val="false"/>
          <w:dstrike w:val="false"/>
          <w:color w:val="000000"/>
          <w:position w:val="0"/>
          <w:sz w:val="20"/>
          <w:szCs w:val="20"/>
          <w:highlight w:val="lightGray"/>
          <w:u w:val="none"/>
          <w:vertAlign w:val="baseline"/>
          <w:lang w:val="pt-BR"/>
        </w:rPr>
        <w:t>DAS DISPOSIÇÕES GERAIS</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Será divulgada ata da sessão pública no sistema eletrônico.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Todas as referências de tempo no Edital, no aviso e durante a sessão pública observarão o horário de Brasília - DF.</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A homologação do resultado desta licitação não implicará direito à contratação.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Os licitantes assumem todos os custos de preparação e apresentação de suas propostas e a Administração não será, em nenhum caso, responsável por esses custos, independentemente da condução ou do resultado do processo licitatório.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Na contagem dos prazos estabelecidos neste Edital e seus Anexos, excluir-se-á o dia do início e incluir-se-á o do vencimento. Só se iniciam e vencem os prazos em dias de expediente na Administração.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O desatendimento de exigências formais não essenciais não importará o afastamento do licitante, desde que seja possível o aproveitamento do ato, observados os princípios da isonomia e do interesse público.</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Em caso de divergência entre disposições deste Edital e de seus anexos ou demais peças que compõem o processo, prevalecerá as deste Edital.</w:t>
      </w:r>
    </w:p>
    <w:p>
      <w:pPr>
        <w:pStyle w:val="normal1"/>
        <w:numPr>
          <w:ilvl w:val="2"/>
          <w:numId w:val="1"/>
        </w:numPr>
        <w:spacing w:lineRule="auto" w:line="240" w:before="120" w:after="120"/>
        <w:ind w:firstLine="567" w:start="567"/>
        <w:jc w:val="both"/>
        <w:rPr>
          <w:lang w:val="pt-BR"/>
        </w:rPr>
      </w:pPr>
      <w:r>
        <w:rPr>
          <w:rFonts w:eastAsia="Arial" w:cs="Arial" w:ascii="Arial" w:hAnsi="Arial"/>
          <w:sz w:val="20"/>
          <w:szCs w:val="20"/>
          <w:highlight w:val="yellow"/>
          <w:lang w:val="pt-BR"/>
        </w:rPr>
        <w:t>Em qualquer etapa do presente certame e durante a execução do fornecimento, havendo divergência entre a descrição de itens constante do Catálogo de Material (CATMAT) na “relação de itens” gerada automaticamente pelo Comprasnet ou na nota de empenho e a do Termo de Referência, prevalecerá sempre a descrição do Termo de Referência deste Edital.</w:t>
      </w:r>
    </w:p>
    <w:p>
      <w:pPr>
        <w:pStyle w:val="normal1"/>
        <w:numPr>
          <w:ilvl w:val="2"/>
          <w:numId w:val="1"/>
        </w:numPr>
        <w:spacing w:lineRule="auto" w:line="240" w:before="120" w:after="120"/>
        <w:ind w:firstLine="567" w:start="567"/>
        <w:jc w:val="both"/>
        <w:rPr>
          <w:lang w:val="pt-BR"/>
        </w:rPr>
      </w:pPr>
      <w:r>
        <w:rPr>
          <w:rFonts w:eastAsia="Arial" w:cs="Arial" w:ascii="Arial" w:hAnsi="Arial"/>
          <w:sz w:val="20"/>
          <w:szCs w:val="20"/>
          <w:highlight w:val="yellow"/>
          <w:lang w:val="pt-BR"/>
        </w:rPr>
        <w:t>DEVIDO ÀS POSSÍVEIS DIVERGÊNCIAS EM ALGUNS CÓDIGOS DO CATMAT, QUANDO HOUVER A PALAVRA "UNIDADE = XXXXX (por exemplo: fardo, etc)", NA COLUNA "UNIDADE DE MEDIDA", A LICITANTE DEVERÁ COTAR O CORRESPONDENTE QUE CONSTAR NO DESCRITIVO PARA O FORNECIMENTO EM XXXXX.</w:t>
      </w:r>
    </w:p>
    <w:p>
      <w:pPr>
        <w:pStyle w:val="normal1"/>
        <w:numPr>
          <w:ilvl w:val="1"/>
          <w:numId w:val="1"/>
        </w:numPr>
        <w:spacing w:lineRule="auto" w:line="312" w:before="288" w:after="288"/>
        <w:ind w:firstLine="567" w:start="0"/>
        <w:jc w:val="both"/>
        <w:rPr/>
      </w:pPr>
      <w:r>
        <w:rPr>
          <w:rFonts w:eastAsia="Arial" w:cs="Arial" w:ascii="Arial" w:hAnsi="Arial"/>
          <w:color w:val="000000"/>
          <w:sz w:val="20"/>
          <w:szCs w:val="20"/>
          <w:lang w:val="pt-BR"/>
        </w:rPr>
        <w:t>O Edital e seus anexos estão disponíveis, na íntegra, no Portal Nacional de Contratações Públicas (PNCP) e endereço eletrônico https://</w:t>
      </w:r>
      <w:hyperlink r:id="rId28">
        <w:r>
          <w:rPr>
            <w:rStyle w:val="Style3"/>
            <w:rFonts w:eastAsia="Arial" w:cs="Arial" w:ascii="Arial" w:hAnsi="Arial"/>
            <w:color w:val="000000"/>
            <w:sz w:val="20"/>
            <w:szCs w:val="20"/>
            <w:lang w:val="pt-BR"/>
          </w:rPr>
          <w:t>www.uff.br/licitacoes</w:t>
        </w:r>
      </w:hyperlink>
      <w:r>
        <w:rPr>
          <w:rFonts w:eastAsia="Arial" w:cs="Arial" w:ascii="Arial" w:hAnsi="Arial"/>
          <w:sz w:val="20"/>
          <w:szCs w:val="20"/>
          <w:lang w:val="pt-BR"/>
        </w:rPr>
        <w:t>/</w:t>
      </w:r>
      <w:r>
        <w:rPr>
          <w:rFonts w:eastAsia="Arial" w:cs="Arial" w:ascii="Arial" w:hAnsi="Arial"/>
          <w:color w:val="000000"/>
          <w:sz w:val="20"/>
          <w:szCs w:val="20"/>
          <w:lang w:val="pt-BR"/>
        </w:rPr>
        <w:t xml:space="preserve">. </w:t>
      </w:r>
      <w:r>
        <w:rPr>
          <w:rFonts w:eastAsia="Arial" w:cs="Arial" w:ascii="Arial" w:hAnsi="Arial"/>
          <w:sz w:val="20"/>
          <w:szCs w:val="20"/>
          <w:lang w:val="pt-BR"/>
        </w:rPr>
        <w:t xml:space="preserve">Os autos do processo administrativo são digitais e podem ser consultados, por qualquer interessado, por meio do clique no nº do processo, constante também do endereço eletrônico https://www.uff.br/licitacoes/. </w:t>
      </w:r>
    </w:p>
    <w:p>
      <w:pPr>
        <w:pStyle w:val="normal1"/>
        <w:numPr>
          <w:ilvl w:val="1"/>
          <w:numId w:val="1"/>
        </w:numPr>
        <w:spacing w:lineRule="auto" w:line="312" w:before="288" w:after="288"/>
        <w:ind w:firstLine="567" w:start="0"/>
        <w:jc w:val="both"/>
        <w:rPr>
          <w:lang w:val="pt-BR"/>
        </w:rPr>
      </w:pPr>
      <w:r>
        <w:rPr>
          <w:rFonts w:eastAsia="Arial" w:cs="Arial" w:ascii="Arial" w:hAnsi="Arial"/>
          <w:color w:val="000000"/>
          <w:sz w:val="20"/>
          <w:szCs w:val="20"/>
          <w:lang w:val="pt-BR"/>
        </w:rPr>
        <w:t>Integram este Edital, para todos os fins e efeitos, os seguintes anexos:</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I</w:t>
      </w:r>
      <w:r>
        <w:rPr>
          <w:rFonts w:eastAsia="Arial" w:cs="Arial" w:ascii="Arial" w:hAnsi="Arial"/>
          <w:color w:val="000000"/>
          <w:sz w:val="20"/>
          <w:szCs w:val="20"/>
          <w:lang w:val="pt-BR"/>
        </w:rPr>
        <w:t xml:space="preserve"> - Termo de Referência</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I do TR</w:t>
      </w:r>
      <w:r>
        <w:rPr>
          <w:rFonts w:eastAsia="Arial" w:cs="Arial" w:ascii="Arial" w:hAnsi="Arial"/>
          <w:color w:val="000000"/>
          <w:sz w:val="20"/>
          <w:szCs w:val="20"/>
          <w:lang w:val="pt-BR"/>
        </w:rPr>
        <w:t xml:space="preserve"> - Regras Aplicáveis ao Instrumento Substitutivo ao Contrato;</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II do TR</w:t>
      </w:r>
      <w:r>
        <w:rPr>
          <w:rFonts w:eastAsia="Arial" w:cs="Arial" w:ascii="Arial" w:hAnsi="Arial"/>
          <w:color w:val="000000"/>
          <w:sz w:val="20"/>
          <w:szCs w:val="20"/>
          <w:lang w:val="pt-BR"/>
        </w:rPr>
        <w:t xml:space="preserve"> – Termo de Ciência e Concordância;</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III</w:t>
      </w:r>
      <w:r>
        <w:rPr>
          <w:rFonts w:eastAsia="Arial" w:cs="Arial" w:ascii="Arial" w:hAnsi="Arial"/>
          <w:color w:val="000000"/>
          <w:sz w:val="20"/>
          <w:szCs w:val="20"/>
          <w:lang w:val="pt-BR"/>
        </w:rPr>
        <w:t xml:space="preserve"> -  Planilha de Descrição de Itens e Preços;</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IV</w:t>
      </w:r>
      <w:r>
        <w:rPr>
          <w:rFonts w:eastAsia="Arial" w:cs="Arial" w:ascii="Arial" w:hAnsi="Arial"/>
          <w:color w:val="000000"/>
          <w:sz w:val="20"/>
          <w:szCs w:val="20"/>
          <w:lang w:val="pt-BR"/>
        </w:rPr>
        <w:t xml:space="preserve"> - Locais de Entrega;</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V</w:t>
      </w:r>
      <w:r>
        <w:rPr>
          <w:rFonts w:eastAsia="Arial" w:cs="Arial" w:ascii="Arial" w:hAnsi="Arial"/>
          <w:color w:val="000000"/>
          <w:sz w:val="20"/>
          <w:szCs w:val="20"/>
          <w:lang w:val="pt-BR"/>
        </w:rPr>
        <w:t xml:space="preserve"> - Modelo de Declaração Preposto ;</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VI</w:t>
      </w:r>
      <w:r>
        <w:rPr>
          <w:rFonts w:eastAsia="Arial" w:cs="Arial" w:ascii="Arial" w:hAnsi="Arial"/>
          <w:color w:val="000000"/>
          <w:sz w:val="20"/>
          <w:szCs w:val="20"/>
          <w:lang w:val="pt-BR"/>
        </w:rPr>
        <w:t xml:space="preserve"> - Modelo de Ata de Registro de Preços;</w:t>
      </w:r>
    </w:p>
    <w:p>
      <w:pPr>
        <w:pStyle w:val="normal1"/>
        <w:numPr>
          <w:ilvl w:val="2"/>
          <w:numId w:val="1"/>
        </w:numPr>
        <w:spacing w:lineRule="auto" w:line="240" w:before="120" w:after="120"/>
        <w:ind w:firstLine="567" w:start="567"/>
        <w:jc w:val="both"/>
        <w:rPr>
          <w:lang w:val="pt-BR"/>
        </w:rPr>
      </w:pPr>
      <w:r>
        <w:rPr>
          <w:rFonts w:eastAsia="Arial" w:cs="Arial" w:ascii="Arial" w:hAnsi="Arial"/>
          <w:b/>
          <w:bCs/>
          <w:color w:val="000000"/>
          <w:sz w:val="20"/>
          <w:szCs w:val="20"/>
          <w:lang w:val="pt-BR"/>
        </w:rPr>
        <w:t>ANEXO VII</w:t>
      </w:r>
      <w:r>
        <w:rPr>
          <w:rFonts w:eastAsia="Arial" w:cs="Arial" w:ascii="Arial" w:hAnsi="Arial"/>
          <w:color w:val="000000"/>
          <w:sz w:val="20"/>
          <w:szCs w:val="20"/>
          <w:lang w:val="pt-BR"/>
        </w:rPr>
        <w:t xml:space="preserve"> - Modelo de Termo de Resp. Sobre a Ata.</w:t>
      </w:r>
    </w:p>
    <w:p>
      <w:pPr>
        <w:pStyle w:val="normal1"/>
        <w:spacing w:lineRule="auto" w:line="240" w:before="120" w:after="120"/>
        <w:ind w:hanging="0" w:start="1134"/>
        <w:jc w:val="both"/>
        <w:rPr>
          <w:rFonts w:ascii="Arial" w:hAnsi="Arial" w:eastAsia="Arial" w:cs="Arial"/>
          <w:color w:val="000000"/>
          <w:sz w:val="20"/>
          <w:szCs w:val="20"/>
          <w:lang w:val="pt-BR"/>
        </w:rPr>
      </w:pPr>
      <w:r>
        <w:rPr>
          <w:rFonts w:eastAsia="Arial" w:cs="Arial" w:ascii="Arial" w:hAnsi="Arial"/>
          <w:color w:val="000000"/>
          <w:sz w:val="20"/>
          <w:szCs w:val="20"/>
          <w:lang w:val="pt-BR"/>
        </w:rPr>
      </w:r>
    </w:p>
    <w:p>
      <w:pPr>
        <w:pStyle w:val="normal1"/>
        <w:spacing w:lineRule="auto" w:line="240" w:before="120" w:after="120"/>
        <w:ind w:hanging="0" w:start="1134"/>
        <w:jc w:val="both"/>
        <w:rPr>
          <w:rFonts w:ascii="Arial" w:hAnsi="Arial" w:eastAsia="Arial" w:cs="Arial"/>
          <w:color w:val="000000"/>
          <w:sz w:val="20"/>
          <w:szCs w:val="20"/>
          <w:lang w:val="pt-BR"/>
        </w:rPr>
      </w:pPr>
      <w:r>
        <w:rPr>
          <w:rFonts w:eastAsia="Arial" w:cs="Arial" w:ascii="Arial" w:hAnsi="Arial"/>
          <w:color w:val="000000"/>
          <w:sz w:val="20"/>
          <w:szCs w:val="20"/>
          <w:lang w:val="pt-BR"/>
        </w:rPr>
      </w:r>
      <w:bookmarkStart w:id="55" w:name="_heading=h.o8pf3icq06v2"/>
      <w:bookmarkStart w:id="56" w:name="_heading=h.o8pf3icq06v2"/>
      <w:bookmarkEnd w:id="56"/>
    </w:p>
    <w:p>
      <w:pPr>
        <w:pStyle w:val="normal1"/>
        <w:spacing w:lineRule="auto" w:line="312" w:before="288" w:after="288"/>
        <w:ind w:firstLine="567"/>
        <w:jc w:val="center"/>
        <w:rPr>
          <w:lang w:val="pt-BR"/>
        </w:rPr>
      </w:pPr>
      <w:bookmarkStart w:id="57" w:name="_heading=h.g1dg8sq0xsjq"/>
      <w:bookmarkEnd w:id="57"/>
      <w:r>
        <w:rPr>
          <w:rFonts w:eastAsia="Arial" w:cs="Arial" w:ascii="Arial" w:hAnsi="Arial"/>
          <w:color w:val="000000"/>
          <w:sz w:val="20"/>
          <w:szCs w:val="20"/>
          <w:lang w:val="pt-BR"/>
        </w:rPr>
        <w:t xml:space="preserve">Niterói, 07 de maio de </w:t>
      </w:r>
      <w:r>
        <w:rPr>
          <w:rFonts w:eastAsia="Arial" w:cs="Arial" w:ascii="Arial" w:hAnsi="Arial"/>
          <w:sz w:val="20"/>
          <w:szCs w:val="20"/>
          <w:lang w:val="pt-BR"/>
        </w:rPr>
        <w:t>2026.</w:t>
      </w:r>
    </w:p>
    <w:p>
      <w:pPr>
        <w:pStyle w:val="normal1"/>
        <w:jc w:val="center"/>
        <w:rPr>
          <w:lang w:val="pt-BR"/>
        </w:rPr>
      </w:pPr>
      <w:bookmarkStart w:id="58" w:name="_heading=h.58cxnqpneb92"/>
      <w:bookmarkEnd w:id="58"/>
      <w:r>
        <w:rPr>
          <w:rFonts w:eastAsia="Arial" w:cs="Arial" w:ascii="Arial" w:hAnsi="Arial"/>
          <w:b/>
          <w:bCs/>
          <w:color w:val="000000"/>
          <w:sz w:val="20"/>
          <w:szCs w:val="20"/>
          <w:lang w:val="pt-BR"/>
        </w:rPr>
        <w:t>Hellen L Medeiros da Silva</w:t>
      </w:r>
    </w:p>
    <w:p>
      <w:pPr>
        <w:pStyle w:val="normal1"/>
        <w:jc w:val="center"/>
        <w:rPr>
          <w:lang w:val="pt-BR"/>
        </w:rPr>
      </w:pPr>
      <w:r>
        <w:rPr>
          <w:rFonts w:eastAsia="Arial" w:cs="Arial" w:ascii="Arial" w:hAnsi="Arial"/>
          <w:b/>
          <w:bCs/>
          <w:color w:val="000000"/>
          <w:sz w:val="20"/>
          <w:szCs w:val="20"/>
          <w:lang w:val="pt-BR"/>
        </w:rPr>
        <w:t>Membro da CLI</w:t>
      </w:r>
    </w:p>
    <w:sectPr>
      <w:headerReference w:type="even" r:id="rId29"/>
      <w:headerReference w:type="default" r:id="rId30"/>
      <w:headerReference w:type="first" r:id="rId31"/>
      <w:footerReference w:type="even" r:id="rId32"/>
      <w:footerReference w:type="default" r:id="rId33"/>
      <w:footerReference w:type="first" r:id="rId34"/>
      <w:type w:val="nextPage"/>
      <w:pgSz w:w="11906" w:h="16838"/>
      <w:pgMar w:left="1134" w:right="1134" w:gutter="0" w:header="709" w:top="766" w:footer="709" w:bottom="1418"/>
      <w:pgNumType w:start="3" w:fmt="decimal"/>
      <w:formProt w:val="false"/>
      <w:titlePg/>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Ecofont_Spranq_eco_Sans">
    <w:charset w:val="01" w:characterSet="utf-8"/>
    <w:family w:val="roman"/>
    <w:pitch w:val="variable"/>
  </w:font>
  <w:font w:name="Calibri">
    <w:charset w:val="01" w:characterSet="utf-8"/>
    <w:family w:val="roman"/>
    <w:pitch w:val="variable"/>
  </w:font>
  <w:font w:name="Times New Roman">
    <w:charset w:val="01" w:characterSet="utf-8"/>
    <w:family w:val="roman"/>
    <w:pitch w:val="variable"/>
  </w:font>
  <w:font w:name="Liberation Sans">
    <w:altName w:val="Arial"/>
    <w:charset w:val="01" w:characterSet="utf-8"/>
    <w:family w:val="swiss"/>
    <w:pitch w:val="variable"/>
  </w:font>
  <w:font w:name="Georgia">
    <w:charset w:val="01" w:characterSet="utf-8"/>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Trebuchet MS">
    <w:charset w:val="01" w:characterSet="utf-8"/>
    <w:family w:val="roman"/>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Verdana">
    <w:charset w:val="01" w:characterSet="utf-8"/>
    <w:family w:val="roman"/>
    <w:pitch w:val="variable"/>
    <w:embedRegular r:id="rId9" w:fontKey="{09014A78-CABC-4EF0-12AC-5CD89AEFDE09}"/>
    <w:embedBold r:id="rId10" w:fontKey="{0A014A78-CABC-4EF0-12AC-5CD89AEFDE0A}"/>
    <w:embedItalic r:id="rId11" w:fontKey="{0B014A78-CABC-4EF0-12AC-5CD89AEFDE0B}"/>
    <w:embedBoldItalic r:id="rId12" w:fontKey="{0C014A78-CABC-4EF0-12AC-5CD89AEFDE0C}"/>
  </w:font>
  <w:font w:name="Arial">
    <w:charset w:val="01" w:characterSet="utf-8"/>
    <w:family w:val="swiss"/>
    <w:pitch w:val="variable"/>
  </w:font>
  <w:font w:name="Cambria">
    <w:charset w:val="01" w:characterSet="utf-8"/>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rFonts w:ascii="Times New Roman" w:hAnsi="Times New Roman" w:eastAsia="Times New Roman" w:cs="Times New Roman"/>
        <w:color w:val="000000"/>
        <w:sz w:val="14"/>
        <w:szCs w:val="14"/>
      </w:rPr>
    </w:pPr>
    <w:r>
      <w:rPr>
        <w:rFonts w:eastAsia="Times New Roman" w:cs="Times New Roman" w:ascii="Times New Roman" w:hAnsi="Times New Roman"/>
        <w:color w:val="000000"/>
        <w:sz w:val="14"/>
        <w:szCs w:val="14"/>
      </w:rPr>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Câmara Nacional de Modelos de Licitações e Contratos da Consultoria-Geral da União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Modelo de Edital - Lei nº 14.133, de 2021.</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Aprovado pela Secretaria de Gestão e Inovação.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Identidade visual pela Secretaria de Gestão e Inovação</w:t>
    </w:r>
  </w:p>
  <w:p>
    <w:pPr>
      <w:pStyle w:val="normal1"/>
      <w:tabs>
        <w:tab w:val="clear" w:pos="720"/>
        <w:tab w:val="center" w:pos="4252" w:leader="none"/>
        <w:tab w:val="right" w:pos="8504" w:leader="none"/>
      </w:tabs>
      <w:rPr>
        <w:rFonts w:ascii="Arial" w:hAnsi="Arial" w:eastAsia="Arial" w:cs="Arial"/>
        <w:highlight w:val="white"/>
      </w:rPr>
    </w:pPr>
    <w:r>
      <w:rPr>
        <w:rFonts w:eastAsia="Arial" w:cs="Arial" w:ascii="Arial" w:hAnsi="Arial"/>
        <w:sz w:val="14"/>
        <w:szCs w:val="14"/>
      </w:rPr>
      <w:t>Atualização: NOV/2025</w:t>
    </w:r>
    <w:r>
      <w:rPr>
        <w:color w:val="7F7F7F"/>
        <w:sz w:val="22"/>
        <w:szCs w:val="22"/>
      </w:rPr>
      <w:tab/>
      <w:t xml:space="preserve">  </w:t>
    </w:r>
    <w:r>
      <w:rPr>
        <w:rFonts w:eastAsia="Arial" w:cs="Arial" w:ascii="Arial" w:hAnsi="Arial"/>
        <w:color w:val="595959"/>
        <w:sz w:val="18"/>
        <w:szCs w:val="18"/>
      </w:rPr>
      <w:t xml:space="preserve">Página </w:t>
    </w:r>
    <w:r>
      <w:rPr/>
      <w:fldChar w:fldCharType="begin"/>
    </w:r>
    <w:r>
      <w:rPr/>
      <w:instrText xml:space="preserve"> PAGE </w:instrText>
    </w:r>
    <w:r>
      <w:rPr/>
      <w:fldChar w:fldCharType="separate"/>
    </w:r>
    <w:r>
      <w:rPr/>
      <w:t>2</w:t>
    </w:r>
    <w:r>
      <w:rPr/>
      <w:fldChar w:fldCharType="end"/>
    </w:r>
    <w:r>
      <w:rPr>
        <w:rFonts w:eastAsia="Arial" w:cs="Arial" w:ascii="Arial" w:hAnsi="Arial"/>
        <w:color w:val="595959"/>
        <w:sz w:val="18"/>
        <w:szCs w:val="18"/>
      </w:rPr>
      <w:t xml:space="preserve"> | </w:t>
    </w:r>
  </w:p>
  <w:p>
    <w:pPr>
      <w:pStyle w:val="normal1"/>
      <w:tabs>
        <w:tab w:val="clear" w:pos="720"/>
        <w:tab w:val="center" w:pos="4252" w:leader="none"/>
        <w:tab w:val="right" w:pos="8504" w:leader="none"/>
      </w:tabs>
      <w:rPr>
        <w:rFonts w:ascii="Arial" w:hAnsi="Arial" w:eastAsia="Arial" w:cs="Arial"/>
        <w:sz w:val="20"/>
        <w:szCs w:val="20"/>
        <w:highlight w:val="white"/>
      </w:rPr>
    </w:pPr>
    <w:r>
      <w:rPr>
        <w:rFonts w:eastAsia="Arial" w:cs="Arial" w:ascii="Arial" w:hAnsi="Arial"/>
        <w:sz w:val="20"/>
        <w:szCs w:val="20"/>
        <w:highlight w:val="whit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Câmara Nacional de Modelos de Licitações e Contratos da Consultoria-Geral da União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bookmarkStart w:id="1" w:name="_heading=h.k5gbrmllj9ob"/>
    <w:bookmarkEnd w:id="1"/>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Modelo de Edital - Lei nº 14.133, de 2021.</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Aprovado pela Secretaria de Gestão e Inovação.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Identidade visual pela Secretaria de Gestão e Inovação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Ecofont_Spranq_eco_Sans" w:hAnsi="Ecofont_Spranq_eco_Sans" w:eastAsia="Ecofont_Spranq_eco_Sans" w:cs="Ecofont_Spranq_eco_Sans"/>
        <w:b w:val="false"/>
        <w:bCs w:val="false"/>
        <w:i w:val="false"/>
        <w:iCs w:val="false"/>
        <w:caps w:val="false"/>
        <w:smallCaps w:val="false"/>
        <w:strike w:val="false"/>
        <w:dstrike w:val="false"/>
        <w:color w:val="000000"/>
        <w:position w:val="0"/>
        <w:sz w:val="24"/>
        <w:szCs w:val="24"/>
        <w:u w:val="none"/>
        <w:shd w:fill="auto" w:val="clear"/>
        <w:vertAlign w:val="baseline"/>
      </w:rPr>
    </w:pPr>
    <w:bookmarkStart w:id="2" w:name="_heading=h.f9vqtf3lio3h"/>
    <w:bookmarkEnd w:id="2"/>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Atualização: NOV/2025</w:t>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rFonts w:ascii="Times New Roman" w:hAnsi="Times New Roman" w:eastAsia="Times New Roman" w:cs="Times New Roman"/>
        <w:color w:val="000000"/>
        <w:sz w:val="14"/>
        <w:szCs w:val="14"/>
      </w:rPr>
    </w:pPr>
    <w:r>
      <w:rPr>
        <w:rFonts w:eastAsia="Times New Roman" w:cs="Times New Roman" w:ascii="Times New Roman" w:hAnsi="Times New Roman"/>
        <w:color w:val="000000"/>
        <w:sz w:val="14"/>
        <w:szCs w:val="14"/>
      </w:rPr>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Câmara Nacional de Modelos de Licitações e Contratos da Consultoria-Geral da União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Modelo de Edital - Lei nº 14.133, de 2021.</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Aprovado pela Secretaria de Gestão e Inovação.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Identidade visual pela Secretaria de Gestão e Inovação</w:t>
    </w:r>
  </w:p>
  <w:p>
    <w:pPr>
      <w:pStyle w:val="normal1"/>
      <w:tabs>
        <w:tab w:val="clear" w:pos="720"/>
        <w:tab w:val="center" w:pos="4252" w:leader="none"/>
        <w:tab w:val="right" w:pos="8504" w:leader="none"/>
      </w:tabs>
      <w:rPr>
        <w:rFonts w:ascii="Arial" w:hAnsi="Arial" w:eastAsia="Arial" w:cs="Arial"/>
        <w:highlight w:val="white"/>
      </w:rPr>
    </w:pPr>
    <w:r>
      <w:rPr>
        <w:rFonts w:eastAsia="Arial" w:cs="Arial" w:ascii="Arial" w:hAnsi="Arial"/>
        <w:sz w:val="14"/>
        <w:szCs w:val="14"/>
      </w:rPr>
      <w:t>Atualização: NOV/2025</w:t>
    </w:r>
    <w:r>
      <w:rPr>
        <w:color w:val="7F7F7F"/>
        <w:sz w:val="22"/>
        <w:szCs w:val="22"/>
      </w:rPr>
      <w:tab/>
      <w:t xml:space="preserve">  </w:t>
    </w:r>
    <w:r>
      <w:rPr>
        <w:rFonts w:eastAsia="Arial" w:cs="Arial" w:ascii="Arial" w:hAnsi="Arial"/>
        <w:color w:val="595959"/>
        <w:sz w:val="18"/>
        <w:szCs w:val="18"/>
      </w:rPr>
      <w:t xml:space="preserve">Página </w:t>
    </w:r>
    <w:r>
      <w:rPr/>
      <w:fldChar w:fldCharType="begin"/>
    </w:r>
    <w:r>
      <w:rPr/>
      <w:instrText xml:space="preserve"> PAGE </w:instrText>
    </w:r>
    <w:r>
      <w:rPr/>
      <w:fldChar w:fldCharType="separate"/>
    </w:r>
    <w:r>
      <w:rPr/>
      <w:t>28</w:t>
    </w:r>
    <w:r>
      <w:rPr/>
      <w:fldChar w:fldCharType="end"/>
    </w:r>
    <w:r>
      <w:rPr>
        <w:rFonts w:eastAsia="Arial" w:cs="Arial" w:ascii="Arial" w:hAnsi="Arial"/>
        <w:color w:val="595959"/>
        <w:sz w:val="18"/>
        <w:szCs w:val="18"/>
      </w:rPr>
      <w:t xml:space="preserve"> | </w:t>
    </w:r>
  </w:p>
  <w:p>
    <w:pPr>
      <w:pStyle w:val="normal1"/>
      <w:tabs>
        <w:tab w:val="clear" w:pos="720"/>
        <w:tab w:val="center" w:pos="4252" w:leader="none"/>
        <w:tab w:val="right" w:pos="8504" w:leader="none"/>
      </w:tabs>
      <w:rPr>
        <w:rFonts w:ascii="Arial" w:hAnsi="Arial" w:eastAsia="Arial" w:cs="Arial"/>
        <w:sz w:val="20"/>
        <w:szCs w:val="20"/>
        <w:highlight w:val="white"/>
      </w:rPr>
    </w:pPr>
    <w:r>
      <w:rPr>
        <w:rFonts w:eastAsia="Arial" w:cs="Arial" w:ascii="Arial" w:hAnsi="Arial"/>
        <w:sz w:val="20"/>
        <w:szCs w:val="20"/>
        <w:highlight w:val="white"/>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Câmara Nacional de Modelos de Licitações e Contratos da Consultoria-Geral da União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bookmarkStart w:id="59" w:name="_heading=h.k5gbrmllj9ob_Copia_4"/>
    <w:bookmarkEnd w:id="59"/>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Modelo de Edital - Lei nº 14.133, de 2021.</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Aprovado pela Secretaria de Gestão e Inovação.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Identidade visual pela Secretaria de Gestão e Inovação</w:t>
    </w:r>
  </w:p>
  <w:p>
    <w:pPr>
      <w:pStyle w:val="normal1"/>
      <w:keepNext w:val="false"/>
      <w:keepLines w:val="false"/>
      <w:widowControl/>
      <w:shd w:val="clear" w:fill="auto"/>
      <w:tabs>
        <w:tab w:val="clear" w:pos="720"/>
        <w:tab w:val="center" w:pos="4252" w:leader="none"/>
        <w:tab w:val="right" w:pos="8504" w:leader="none"/>
      </w:tabs>
      <w:spacing w:lineRule="auto" w:line="240" w:before="0" w:after="0"/>
      <w:ind w:hanging="0" w:start="0" w:end="0"/>
      <w:jc w:val="start"/>
      <w:rPr>
        <w:rFonts w:ascii="Ecofont_Spranq_eco_Sans" w:hAnsi="Ecofont_Spranq_eco_Sans" w:eastAsia="Ecofont_Spranq_eco_Sans" w:cs="Ecofont_Spranq_eco_Sans"/>
        <w:b w:val="false"/>
        <w:bCs w:val="false"/>
        <w:i w:val="false"/>
        <w:iCs w:val="false"/>
        <w:caps w:val="false"/>
        <w:smallCaps w:val="false"/>
        <w:strike w:val="false"/>
        <w:dstrike w:val="false"/>
        <w:color w:val="000000"/>
        <w:position w:val="0"/>
        <w:sz w:val="24"/>
        <w:szCs w:val="24"/>
        <w:u w:val="none"/>
        <w:shd w:fill="auto" w:val="clear"/>
        <w:vertAlign w:val="baseline"/>
      </w:rPr>
    </w:pPr>
    <w:bookmarkStart w:id="60" w:name="_heading=h.f9vqtf3lio3h_Copia_4"/>
    <w:bookmarkEnd w:id="60"/>
    <w:r>
      <w:rPr>
        <w:rFonts w:eastAsia="Arial" w:cs="Arial" w:ascii="Arial" w:hAnsi="Arial"/>
        <w:b w:val="false"/>
        <w:bCs w:val="false"/>
        <w:i w:val="false"/>
        <w:iCs w:val="false"/>
        <w:caps w:val="false"/>
        <w:smallCaps w:val="false"/>
        <w:strike w:val="false"/>
        <w:dstrike w:val="false"/>
        <w:color w:val="000000"/>
        <w:position w:val="0"/>
        <w:sz w:val="14"/>
        <w:szCs w:val="14"/>
        <w:u w:val="none"/>
        <w:shd w:fill="auto" w:val="clear"/>
        <w:vertAlign w:val="baseline"/>
      </w:rPr>
      <w:t>Atualização: NOV/2025</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tabs>
        <w:tab w:val="clear" w:pos="720"/>
        <w:tab w:val="center" w:pos="4252" w:leader="none"/>
        <w:tab w:val="right" w:pos="8504" w:leader="none"/>
      </w:tabs>
      <w:jc w:val="end"/>
      <w:rPr>
        <w:rFonts w:ascii="Arial" w:hAnsi="Arial" w:eastAsia="Arial" w:cs="Arial"/>
        <w:color w:val="000000"/>
        <w:sz w:val="20"/>
        <w:szCs w:val="20"/>
      </w:rPr>
    </w:pPr>
    <w:r>
      <w:rPr>
        <w:rFonts w:eastAsia="Arial" w:cs="Arial" w:ascii="Arial" w:hAnsi="Arial"/>
        <w:color w:val="000000"/>
        <w:sz w:val="20"/>
        <w:szCs w:val="20"/>
      </w:rPr>
      <w:t>EDITAL PREGÃO ELETRÔNICO SRP Nº 90.021/2026</w:t>
    </w:r>
  </w:p>
  <w:p>
    <w:pPr>
      <w:pStyle w:val="normal1"/>
      <w:tabs>
        <w:tab w:val="clear" w:pos="720"/>
        <w:tab w:val="left" w:pos="480" w:leader="none"/>
        <w:tab w:val="center" w:pos="4252" w:leader="none"/>
        <w:tab w:val="right" w:pos="8504" w:leader="none"/>
      </w:tabs>
      <w:rPr>
        <w:color w:val="000000"/>
      </w:rPr>
    </w:pPr>
    <w:r>
      <w:drawing>
        <wp:anchor distT="0" distB="0" distL="0" distR="0" simplePos="0" relativeHeight="3" behindDoc="1" locked="0" layoutInCell="1" allowOverlap="1">
          <wp:simplePos x="0" y="0"/>
          <wp:positionH relativeFrom="column">
            <wp:posOffset>0</wp:posOffset>
          </wp:positionH>
          <wp:positionV relativeFrom="paragraph">
            <wp:posOffset>635</wp:posOffset>
          </wp:positionV>
          <wp:extent cx="690245" cy="373380"/>
          <wp:effectExtent l="0" t="0" r="0" b="0"/>
          <wp:wrapNone/>
          <wp:docPr id="37" name="image4.jpg" descr="Uma imagem contendo clip-art&#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4.jpg" descr="Uma imagem contendo clip-art&#10;&#10;Descrição gerada automaticamente"/>
                  <pic:cNvPicPr>
                    <a:picLocks noChangeAspect="1" noChangeArrowheads="1"/>
                  </pic:cNvPicPr>
                </pic:nvPicPr>
                <pic:blipFill>
                  <a:blip r:embed="rId1"/>
                  <a:stretch>
                    <a:fillRect/>
                  </a:stretch>
                </pic:blipFill>
                <pic:spPr bwMode="auto">
                  <a:xfrm>
                    <a:off x="0" y="0"/>
                    <a:ext cx="690245" cy="373380"/>
                  </a:xfrm>
                  <a:prstGeom prst="rect">
                    <a:avLst/>
                  </a:prstGeom>
                  <a:noFill/>
                </pic:spPr>
              </pic:pic>
            </a:graphicData>
          </a:graphic>
        </wp:anchor>
      </w:drawing>
    </w:r>
    <w:r>
      <w:rPr>
        <w:color w:val="000000"/>
      </w:rPr>
      <w:tab/>
      <w:tab/>
      <w:tab/>
    </w:r>
  </w:p>
  <w:p>
    <w:pPr>
      <w:pStyle w:val="normal1"/>
      <w:tabs>
        <w:tab w:val="clear" w:pos="720"/>
        <w:tab w:val="center" w:pos="4252" w:leader="none"/>
        <w:tab w:val="right" w:pos="8504" w:leader="none"/>
      </w:tabs>
      <w:jc w:val="end"/>
      <w:rPr>
        <w:color w:val="000000"/>
      </w:rPr>
    </w:pPr>
    <w:r>
      <w:rPr>
        <w:color w:val="000000"/>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tabs>
        <w:tab w:val="clear" w:pos="720"/>
        <w:tab w:val="center" w:pos="4252" w:leader="none"/>
        <w:tab w:val="right" w:pos="8504" w:leader="none"/>
      </w:tabs>
      <w:jc w:val="end"/>
      <w:rPr>
        <w:rFonts w:ascii="Arial" w:hAnsi="Arial" w:eastAsia="Arial" w:cs="Arial"/>
        <w:color w:val="000000"/>
        <w:sz w:val="20"/>
        <w:szCs w:val="20"/>
      </w:rPr>
    </w:pPr>
    <w:r>
      <w:rPr>
        <w:rFonts w:eastAsia="Arial" w:cs="Arial" w:ascii="Arial" w:hAnsi="Arial"/>
        <w:color w:val="000000"/>
        <w:sz w:val="20"/>
        <w:szCs w:val="20"/>
      </w:rPr>
      <w:t>EDITAL PREGÃO ELETRÔNICO SRP Nº 90.021/2026</w:t>
    </w:r>
  </w:p>
  <w:p>
    <w:pPr>
      <w:pStyle w:val="normal1"/>
      <w:tabs>
        <w:tab w:val="clear" w:pos="720"/>
        <w:tab w:val="left" w:pos="480" w:leader="none"/>
        <w:tab w:val="center" w:pos="4252" w:leader="none"/>
        <w:tab w:val="right" w:pos="8504" w:leader="none"/>
      </w:tabs>
      <w:rPr>
        <w:color w:val="000000"/>
      </w:rPr>
    </w:pPr>
    <w:r>
      <w:drawing>
        <wp:anchor distT="0" distB="0" distL="0" distR="0" simplePos="0" relativeHeight="28" behindDoc="1" locked="0" layoutInCell="1" allowOverlap="1">
          <wp:simplePos x="0" y="0"/>
          <wp:positionH relativeFrom="column">
            <wp:posOffset>0</wp:posOffset>
          </wp:positionH>
          <wp:positionV relativeFrom="paragraph">
            <wp:posOffset>635</wp:posOffset>
          </wp:positionV>
          <wp:extent cx="690245" cy="373380"/>
          <wp:effectExtent l="0" t="0" r="0" b="0"/>
          <wp:wrapNone/>
          <wp:docPr id="59" name="image4.jpg Copia 1" descr="Uma imagem contendo clip-art&#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jpg Copia 1" descr="Uma imagem contendo clip-art&#10;&#10;Descrição gerada automaticamente"/>
                  <pic:cNvPicPr>
                    <a:picLocks noChangeAspect="1" noChangeArrowheads="1"/>
                  </pic:cNvPicPr>
                </pic:nvPicPr>
                <pic:blipFill>
                  <a:blip r:embed="rId1"/>
                  <a:stretch>
                    <a:fillRect/>
                  </a:stretch>
                </pic:blipFill>
                <pic:spPr bwMode="auto">
                  <a:xfrm>
                    <a:off x="0" y="0"/>
                    <a:ext cx="690245" cy="373380"/>
                  </a:xfrm>
                  <a:prstGeom prst="rect">
                    <a:avLst/>
                  </a:prstGeom>
                  <a:noFill/>
                </pic:spPr>
              </pic:pic>
            </a:graphicData>
          </a:graphic>
        </wp:anchor>
      </w:drawing>
    </w:r>
    <w:r>
      <w:rPr>
        <w:color w:val="000000"/>
      </w:rPr>
      <w:tab/>
      <w:tab/>
      <w:tab/>
    </w:r>
  </w:p>
  <w:p>
    <w:pPr>
      <w:pStyle w:val="normal1"/>
      <w:tabs>
        <w:tab w:val="clear" w:pos="720"/>
        <w:tab w:val="center" w:pos="4252" w:leader="none"/>
        <w:tab w:val="right" w:pos="8504" w:leader="none"/>
      </w:tabs>
      <w:jc w:val="end"/>
      <w:rPr>
        <w:color w:val="000000"/>
      </w:rPr>
    </w:pPr>
    <w:r>
      <w:rPr>
        <w:color w:val="000000"/>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start"/>
      <w:pPr>
        <w:tabs>
          <w:tab w:val="num" w:pos="0"/>
        </w:tabs>
        <w:ind w:start="360" w:hanging="360"/>
      </w:pPr>
      <w:rPr>
        <w:b/>
        <w:bCs/>
      </w:rPr>
    </w:lvl>
    <w:lvl w:ilvl="1">
      <w:start w:val="1"/>
      <w:numFmt w:val="decimal"/>
      <w:lvlText w:val="%1.%2."/>
      <w:lvlJc w:val="start"/>
      <w:pPr>
        <w:tabs>
          <w:tab w:val="num" w:pos="0"/>
        </w:tabs>
        <w:ind w:start="4969" w:hanging="432"/>
      </w:pPr>
      <w:rPr>
        <w:rFonts w:ascii="Arial" w:hAnsi="Arial" w:eastAsia="Arial" w:cs="Arial"/>
        <w:b/>
        <w:bCs/>
        <w:i w:val="false"/>
        <w:iCs w:val="false"/>
        <w:strike w:val="false"/>
        <w:dstrike w:val="false"/>
        <w:color w:val="000000"/>
        <w:sz w:val="20"/>
        <w:szCs w:val="20"/>
        <w:u w:val="none"/>
      </w:rPr>
    </w:lvl>
    <w:lvl w:ilvl="2">
      <w:start w:val="1"/>
      <w:numFmt w:val="decimal"/>
      <w:lvlText w:val="%1.%2.%3."/>
      <w:lvlJc w:val="start"/>
      <w:pPr>
        <w:tabs>
          <w:tab w:val="num" w:pos="0"/>
        </w:tabs>
        <w:ind w:start="3198" w:hanging="503"/>
      </w:pPr>
      <w:rPr>
        <w:rFonts w:ascii="Arial" w:hAnsi="Arial" w:eastAsia="Arial" w:cs="Arial"/>
        <w:b/>
        <w:bCs/>
        <w:i w:val="false"/>
        <w:iCs w:val="false"/>
        <w:strike w:val="false"/>
        <w:dstrike w:val="false"/>
        <w:color w:val="000000"/>
        <w:sz w:val="20"/>
        <w:szCs w:val="20"/>
      </w:rPr>
    </w:lvl>
    <w:lvl w:ilvl="3">
      <w:start w:val="1"/>
      <w:numFmt w:val="decimal"/>
      <w:lvlText w:val="%1.%2.%3.%4."/>
      <w:lvlJc w:val="start"/>
      <w:pPr>
        <w:tabs>
          <w:tab w:val="num" w:pos="0"/>
        </w:tabs>
        <w:ind w:start="2491" w:hanging="648"/>
      </w:pPr>
      <w:rPr>
        <w:b/>
        <w:bCs/>
      </w:rPr>
    </w:lvl>
    <w:lvl w:ilvl="4">
      <w:start w:val="1"/>
      <w:numFmt w:val="decimal"/>
      <w:lvlText w:val="%1.%2.%3.%4.%5."/>
      <w:lvlJc w:val="start"/>
      <w:pPr>
        <w:tabs>
          <w:tab w:val="num" w:pos="0"/>
        </w:tabs>
        <w:ind w:start="2232" w:hanging="792"/>
      </w:pPr>
      <w:rPr/>
    </w:lvl>
    <w:lvl w:ilvl="5">
      <w:start w:val="1"/>
      <w:numFmt w:val="decimal"/>
      <w:lvlText w:val="%1.%2.%3.%4.%5.%6."/>
      <w:lvlJc w:val="start"/>
      <w:pPr>
        <w:tabs>
          <w:tab w:val="num" w:pos="0"/>
        </w:tabs>
        <w:ind w:start="2736" w:hanging="933"/>
      </w:pPr>
      <w:rPr/>
    </w:lvl>
    <w:lvl w:ilvl="6">
      <w:start w:val="1"/>
      <w:numFmt w:val="decimal"/>
      <w:lvlText w:val="%1.%2.%3.%4.%5.%6.%7."/>
      <w:lvlJc w:val="start"/>
      <w:pPr>
        <w:tabs>
          <w:tab w:val="num" w:pos="0"/>
        </w:tabs>
        <w:ind w:start="3240" w:hanging="1080"/>
      </w:pPr>
      <w:rPr/>
    </w:lvl>
    <w:lvl w:ilvl="7">
      <w:start w:val="1"/>
      <w:numFmt w:val="decimal"/>
      <w:lvlText w:val="%1.%2.%3.%4.%5.%6.%7.%8."/>
      <w:lvlJc w:val="start"/>
      <w:pPr>
        <w:tabs>
          <w:tab w:val="num" w:pos="0"/>
        </w:tabs>
        <w:ind w:start="3744" w:hanging="1224"/>
      </w:pPr>
      <w:rPr/>
    </w:lvl>
    <w:lvl w:ilvl="8">
      <w:start w:val="1"/>
      <w:numFmt w:val="decimal"/>
      <w:lvlText w:val="%1.%2.%3.%4.%5.%6.%7.%8.%9."/>
      <w:lvlJc w:val="start"/>
      <w:pPr>
        <w:tabs>
          <w:tab w:val="num" w:pos="0"/>
        </w:tabs>
        <w:ind w:start="4320" w:hanging="1440"/>
      </w:pPr>
      <w:rPr/>
    </w:lvl>
  </w:abstractNum>
  <w:abstractNum w:abstractNumId="2">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bering>
</file>

<file path=word/settings.xml><?xml version="1.0" encoding="utf-8"?>
<w:settings xmlns:w="http://schemas.openxmlformats.org/wordprocessingml/2006/main">
  <w:zoom w:percent="140"/>
  <w:embedTrueTypeFonts/>
  <w:defaultTabStop w:val="720"/>
  <w:autoHyphenation w:val="true"/>
  <w:hyphenationZone w:val="0"/>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Ecofont_Spranq_eco_Sans" w:hAnsi="Ecofont_Spranq_eco_Sans" w:eastAsia="Ecofont_Spranq_eco_Sans" w:cs="Ecofont_Spranq_eco_Sans"/>
        <w:sz w:val="24"/>
        <w:szCs w:val="24"/>
        <w:lang w:val="en-US" w:eastAsia="zh-CN" w:bidi="hi-IN"/>
      </w:rPr>
    </w:rPrDefault>
    <w:pPrDefault>
      <w:pPr>
        <w:suppressAutoHyphens w:val="true"/>
      </w:pPr>
    </w:pPrDefault>
  </w:docDefaults>
  <w:style w:type="paragraph" w:styleId="Normal">
    <w:name w:val="Normal"/>
    <w:qFormat/>
    <w:pPr>
      <w:widowControl/>
      <w:suppressAutoHyphens w:val="true"/>
      <w:bidi w:val="0"/>
      <w:spacing w:before="0" w:after="0"/>
      <w:jc w:val="start"/>
    </w:pPr>
    <w:rPr>
      <w:rFonts w:ascii="Ecofont_Spranq_eco_Sans" w:hAnsi="Ecofont_Spranq_eco_Sans" w:eastAsia="Ecofont_Spranq_eco_Sans" w:cs="Ecofont_Spranq_eco_Sans"/>
      <w:color w:val="auto"/>
      <w:kern w:val="0"/>
      <w:sz w:val="24"/>
      <w:szCs w:val="24"/>
      <w:lang w:val="en-US" w:eastAsia="zh-CN" w:bidi="hi-IN"/>
    </w:rPr>
  </w:style>
  <w:style w:type="paragraph" w:styleId="Heading1">
    <w:name w:val="heading 1"/>
    <w:basedOn w:val="normal1"/>
    <w:next w:val="normal1"/>
    <w:qFormat/>
    <w:pPr>
      <w:keepNext w:val="true"/>
      <w:keepLines/>
      <w:spacing w:lineRule="auto" w:line="240" w:before="480" w:after="0"/>
    </w:pPr>
    <w:rPr>
      <w:rFonts w:ascii="Calibri" w:hAnsi="Calibri" w:eastAsia="Calibri" w:cs="Calibri"/>
      <w:b/>
      <w:bCs/>
      <w:color w:val="366091"/>
      <w:sz w:val="28"/>
      <w:szCs w:val="28"/>
    </w:rPr>
  </w:style>
  <w:style w:type="paragraph" w:styleId="Heading2">
    <w:name w:val="heading 2"/>
    <w:basedOn w:val="normal1"/>
    <w:next w:val="normal1"/>
    <w:qFormat/>
    <w:pPr>
      <w:keepNext w:val="true"/>
      <w:tabs>
        <w:tab w:val="clear" w:pos="720"/>
        <w:tab w:val="left" w:pos="1701" w:leader="none"/>
      </w:tabs>
      <w:ind w:end="0"/>
      <w:jc w:val="center"/>
    </w:pPr>
    <w:rPr>
      <w:rFonts w:ascii="Times New Roman" w:hAnsi="Times New Roman" w:eastAsia="Times New Roman" w:cs="Times New Roman"/>
      <w:b/>
      <w:bCs/>
      <w:color w:val="000000"/>
    </w:rPr>
  </w:style>
  <w:style w:type="paragraph" w:styleId="Heading3">
    <w:name w:val="heading 3"/>
    <w:basedOn w:val="normal1"/>
    <w:next w:val="normal1"/>
    <w:qFormat/>
    <w:pPr>
      <w:keepNext w:val="true"/>
      <w:keepLines/>
      <w:spacing w:lineRule="auto" w:line="259" w:before="40" w:after="0"/>
    </w:pPr>
    <w:rPr>
      <w:rFonts w:ascii="Calibri" w:hAnsi="Calibri" w:eastAsia="Calibri" w:cs="Calibri"/>
      <w:color w:val="244061"/>
    </w:rPr>
  </w:style>
  <w:style w:type="paragraph" w:styleId="Heading4">
    <w:name w:val="heading 4"/>
    <w:basedOn w:val="normal1"/>
    <w:next w:val="normal1"/>
    <w:qFormat/>
    <w:pPr>
      <w:keepNext w:val="true"/>
      <w:keepLines/>
      <w:spacing w:lineRule="auto" w:line="240" w:before="40" w:after="0"/>
    </w:pPr>
    <w:rPr>
      <w:rFonts w:ascii="Calibri" w:hAnsi="Calibri" w:eastAsia="Calibri" w:cs="Calibri"/>
      <w:i/>
      <w:iCs/>
      <w:color w:val="366091"/>
    </w:rPr>
  </w:style>
  <w:style w:type="paragraph" w:styleId="Heading5">
    <w:name w:val="heading 5"/>
    <w:basedOn w:val="normal1"/>
    <w:next w:val="normal1"/>
    <w:qFormat/>
    <w:pPr>
      <w:keepNext w:val="true"/>
      <w:keepLines/>
      <w:spacing w:lineRule="auto" w:line="240" w:before="220" w:after="40"/>
    </w:pPr>
    <w:rPr>
      <w:b/>
      <w:bCs/>
      <w:sz w:val="22"/>
      <w:szCs w:val="22"/>
    </w:rPr>
  </w:style>
  <w:style w:type="paragraph" w:styleId="Heading6">
    <w:name w:val="heading 6"/>
    <w:basedOn w:val="normal1"/>
    <w:next w:val="normal1"/>
    <w:qFormat/>
    <w:pPr>
      <w:keepNext w:val="true"/>
      <w:keepLines/>
      <w:spacing w:lineRule="auto" w:line="259" w:before="40" w:after="0"/>
    </w:pPr>
    <w:rPr>
      <w:rFonts w:ascii="Calibri" w:hAnsi="Calibri" w:eastAsia="Calibri" w:cs="Calibri"/>
      <w:color w:val="244061"/>
      <w:sz w:val="22"/>
      <w:szCs w:val="22"/>
    </w:rPr>
  </w:style>
  <w:style w:type="character" w:styleId="Hyperlink">
    <w:name w:val="Hyperlink"/>
    <w:rPr>
      <w:color w:val="000080"/>
      <w:u w:val="single"/>
    </w:rPr>
  </w:style>
  <w:style w:type="character" w:styleId="Vnculodendiceuser">
    <w:name w:val="Vínculo de índice (user)"/>
    <w:qFormat/>
    <w:rPr/>
  </w:style>
  <w:style w:type="character" w:styleId="Vnculodendice">
    <w:name w:val="Vínculo de índice"/>
    <w:qFormat/>
    <w:rPr/>
  </w:style>
  <w:style w:type="paragraph" w:styleId="Ttulo">
    <w:name w:val="Título"/>
    <w:basedOn w:val="Normal"/>
    <w:next w:val="BodyText"/>
    <w:qFormat/>
    <w:pPr>
      <w:keepNext w:val="true"/>
      <w:spacing w:before="240" w:after="120"/>
    </w:pPr>
    <w:rPr>
      <w:rFonts w:ascii="Liberation Sans" w:hAnsi="Liberation Sans" w:eastAsia="Arial Unicode MS" w:cs="Arial Unicode M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Unicode MS"/>
    </w:rPr>
  </w:style>
  <w:style w:type="paragraph" w:styleId="Caption">
    <w:name w:val="caption"/>
    <w:basedOn w:val="Normal"/>
    <w:qFormat/>
    <w:pPr>
      <w:suppressLineNumbers/>
      <w:spacing w:before="120" w:after="120"/>
    </w:pPr>
    <w:rPr>
      <w:rFonts w:cs="Arial Unicode MS"/>
      <w:i/>
      <w:iCs/>
      <w:sz w:val="24"/>
      <w:szCs w:val="24"/>
    </w:rPr>
  </w:style>
  <w:style w:type="paragraph" w:styleId="ndice">
    <w:name w:val="Índice"/>
    <w:basedOn w:val="Normal"/>
    <w:qFormat/>
    <w:pPr>
      <w:suppressLineNumbers/>
    </w:pPr>
    <w:rPr>
      <w:rFonts w:cs="Arial Unicode MS"/>
    </w:rPr>
  </w:style>
  <w:style w:type="paragraph" w:styleId="Ttulouser">
    <w:name w:val="Título (user)"/>
    <w:basedOn w:val="Normal"/>
    <w:next w:val="BodyText"/>
    <w:qFormat/>
    <w:pPr>
      <w:keepNext w:val="true"/>
      <w:spacing w:before="240" w:after="120"/>
    </w:pPr>
    <w:rPr>
      <w:rFonts w:ascii="Liberation Sans" w:hAnsi="Liberation Sans" w:eastAsia="Arial Unicode MS" w:cs="Arial Unicode MS"/>
      <w:sz w:val="28"/>
      <w:szCs w:val="28"/>
    </w:rPr>
  </w:style>
  <w:style w:type="paragraph" w:styleId="ndiceuser">
    <w:name w:val="Índice (user)"/>
    <w:basedOn w:val="Normal"/>
    <w:qFormat/>
    <w:pPr>
      <w:suppressLineNumbers/>
    </w:pPr>
    <w:rPr>
      <w:rFonts w:cs="Arial Unicode MS"/>
    </w:rPr>
  </w:style>
  <w:style w:type="paragraph" w:styleId="normal1" w:default="1">
    <w:name w:val="normal1"/>
    <w:qFormat/>
    <w:pPr>
      <w:widowControl/>
      <w:suppressAutoHyphens w:val="true"/>
      <w:bidi w:val="0"/>
      <w:spacing w:before="0" w:after="0"/>
      <w:jc w:val="start"/>
    </w:pPr>
    <w:rPr>
      <w:rFonts w:ascii="Ecofont_Spranq_eco_Sans" w:hAnsi="Ecofont_Spranq_eco_Sans" w:eastAsia="Ecofont_Spranq_eco_Sans" w:cs="Ecofont_Spranq_eco_Sans"/>
      <w:color w:val="auto"/>
      <w:kern w:val="0"/>
      <w:sz w:val="24"/>
      <w:szCs w:val="24"/>
      <w:lang w:val="en-US" w:eastAsia="zh-CN" w:bidi="hi-IN"/>
    </w:rPr>
  </w:style>
  <w:style w:type="paragraph" w:styleId="Title">
    <w:name w:val="Title"/>
    <w:basedOn w:val="normal1"/>
    <w:next w:val="normal1"/>
    <w:qFormat/>
    <w:pPr>
      <w:pBdr>
        <w:bottom w:val="single" w:sz="8" w:space="4" w:color="4F81BD"/>
      </w:pBdr>
      <w:spacing w:lineRule="auto" w:line="240" w:before="0" w:after="300"/>
    </w:pPr>
    <w:rPr>
      <w:rFonts w:ascii="Calibri" w:hAnsi="Calibri" w:eastAsia="Calibri" w:cs="Calibri"/>
      <w:color w:val="17375E"/>
      <w:sz w:val="52"/>
      <w:szCs w:val="52"/>
    </w:rPr>
  </w:style>
  <w:style w:type="paragraph" w:styleId="Subtitle">
    <w:name w:val="Subtitle"/>
    <w:basedOn w:val="normal1"/>
    <w:next w:val="normal1"/>
    <w:qFormat/>
    <w:pPr>
      <w:keepNext w:val="true"/>
      <w:keepLines/>
      <w:spacing w:lineRule="auto" w:line="240" w:before="360" w:after="80"/>
    </w:pPr>
    <w:rPr>
      <w:rFonts w:ascii="Georgia" w:hAnsi="Georgia" w:eastAsia="Georgia" w:cs="Georgia"/>
      <w:i/>
      <w:iCs/>
      <w:color w:val="666666"/>
      <w:sz w:val="48"/>
      <w:szCs w:val="48"/>
    </w:rPr>
  </w:style>
  <w:style w:type="paragraph" w:styleId="Contedodoquadrouser">
    <w:name w:val="Conteúdo do quadro (user)"/>
    <w:basedOn w:val="Normal"/>
    <w:qFormat/>
    <w:pPr/>
    <w:rPr/>
  </w:style>
  <w:style w:type="paragraph" w:styleId="Cabealhoerodapuser">
    <w:name w:val="Cabeçalho e rodapé (user)"/>
    <w:basedOn w:val="Normal"/>
    <w:qFormat/>
    <w:pPr/>
    <w:rPr/>
  </w:style>
  <w:style w:type="paragraph" w:styleId="Cabealhoerodap">
    <w:name w:val="Cabeçalho e rodapé"/>
    <w:basedOn w:val="Normal"/>
    <w:qFormat/>
    <w:pPr/>
    <w:rPr/>
  </w:style>
  <w:style w:type="paragraph" w:styleId="Header">
    <w:name w:val="header"/>
    <w:basedOn w:val="Cabealhoerodapuser"/>
    <w:pPr/>
    <w:rPr/>
  </w:style>
  <w:style w:type="paragraph" w:styleId="Footer">
    <w:name w:val="footer"/>
    <w:basedOn w:val="Cabealhoerodapuser"/>
    <w:pPr/>
    <w:rPr/>
  </w:style>
  <w:style w:type="paragraph" w:styleId="Cabealhoesquerdauser">
    <w:name w:val="Cabeçalho à esquerda (user)"/>
    <w:basedOn w:val="Header"/>
    <w:qFormat/>
    <w:pPr/>
    <w:rPr/>
  </w:style>
  <w:style w:type="paragraph" w:styleId="Contedodoquadro">
    <w:name w:val="Conteúdo do quadro"/>
    <w:basedOn w:val="Normal"/>
    <w:qFormat/>
    <w:pPr/>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eader" Target="header1.xml"/><Relationship Id="rId5" Type="http://schemas.openxmlformats.org/officeDocument/2006/relationships/header" Target="header2.xml"/><Relationship Id="rId6" Type="http://schemas.openxmlformats.org/officeDocument/2006/relationships/header" Target="header3.xml"/><Relationship Id="rId7" Type="http://schemas.openxmlformats.org/officeDocument/2006/relationships/footer" Target="footer1.xml"/><Relationship Id="rId8" Type="http://schemas.openxmlformats.org/officeDocument/2006/relationships/footer" Target="footer2.xml"/><Relationship Id="rId9" Type="http://schemas.openxmlformats.org/officeDocument/2006/relationships/footer" Target="footer3.xml"/><Relationship Id="rId10" Type="http://schemas.openxmlformats.org/officeDocument/2006/relationships/image" Target="media/image4.png"/><Relationship Id="rId11" Type="http://schemas.openxmlformats.org/officeDocument/2006/relationships/hyperlink" Target="http://www.gov.br/compras" TargetMode="External"/><Relationship Id="rId12" Type="http://schemas.openxmlformats.org/officeDocument/2006/relationships/hyperlink" Target="https://www.planalto.gov.br/ccivil_03/leis/lcp/lcp123.htm" TargetMode="External"/><Relationship Id="rId13" Type="http://schemas.openxmlformats.org/officeDocument/2006/relationships/hyperlink" Target="https://www.planalto.gov.br/ccivil_03/leis/lcp/lcp123.htm" TargetMode="External"/><Relationship Id="rId14" Type="http://schemas.openxmlformats.org/officeDocument/2006/relationships/hyperlink" Target="https://www.planalto.gov.br/ccivil_03/constituicao/constituicaocompilado.htm" TargetMode="External"/><Relationship Id="rId15" Type="http://schemas.openxmlformats.org/officeDocument/2006/relationships/hyperlink" Target="https://www.planalto.gov.br/ccivil_03/leis/lcp/lcp123.htm" TargetMode="External"/><Relationship Id="rId16"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_ato2015-2018/2015/decreto/d8539.htm" TargetMode="External"/><Relationship Id="rId19" Type="http://schemas.openxmlformats.org/officeDocument/2006/relationships/hyperlink" Target="mailto:cpl@id.uff.br" TargetMode="External"/><Relationship Id="rId20" Type="http://schemas.openxmlformats.org/officeDocument/2006/relationships/hyperlink" Target="https://www.planalto.gov.br/ccivil_03/_ato2015-2018/2016/decreto/d8660.htm" TargetMode="External"/><Relationship Id="rId21" Type="http://schemas.openxmlformats.org/officeDocument/2006/relationships/hyperlink" Target="https://www.gov.br/compras/pt-br/acesso-a-informacao/legislacao/instrucoes-normativas/instrucao-normativa-no-3-de-26-de-abril-de-2018" TargetMode="External"/><Relationship Id="rId22" Type="http://schemas.openxmlformats.org/officeDocument/2006/relationships/hyperlink" Target="https://www.gov.br/compras/pt-br/acesso-a-informacao/legislacao/instrucoes-normativas/instrucao-normativa-no-3-de-26-de-abril-de-2018" TargetMode="External"/><Relationship Id="rId23" Type="http://schemas.openxmlformats.org/officeDocument/2006/relationships/hyperlink" Target="http://www.uff.br/licitacoes" TargetMode="External"/><Relationship Id="rId24"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seges-me-no-73-de-30-de-setembro-de-2022" TargetMode="External"/><Relationship Id="rId26" Type="http://schemas.openxmlformats.org/officeDocument/2006/relationships/hyperlink" Target="http://www.planalto.gov.br/ccivil_03/_ato2019-2022/2021/lei/L14133.htm" TargetMode="External"/><Relationship Id="rId27" Type="http://schemas.openxmlformats.org/officeDocument/2006/relationships/hyperlink" Target="mailto:cpl@id.uff.br" TargetMode="External"/><Relationship Id="rId28" Type="http://schemas.openxmlformats.org/officeDocument/2006/relationships/hyperlink" Target="http://www.uff.br/licitacoes" TargetMode="External"/><Relationship Id="rId29" Type="http://schemas.openxmlformats.org/officeDocument/2006/relationships/header" Target="header4.xml"/><Relationship Id="rId30" Type="http://schemas.openxmlformats.org/officeDocument/2006/relationships/header" Target="header5.xml"/><Relationship Id="rId31" Type="http://schemas.openxmlformats.org/officeDocument/2006/relationships/header" Target="header6.xml"/><Relationship Id="rId32" Type="http://schemas.openxmlformats.org/officeDocument/2006/relationships/footer" Target="footer4.xml"/><Relationship Id="rId33" Type="http://schemas.openxmlformats.org/officeDocument/2006/relationships/footer" Target="footer5.xml"/><Relationship Id="rId34" Type="http://schemas.openxmlformats.org/officeDocument/2006/relationships/footer" Target="footer6.xml"/><Relationship Id="rId35" Type="http://schemas.openxmlformats.org/officeDocument/2006/relationships/numbering" Target="numbering.xml"/><Relationship Id="rId36" Type="http://schemas.openxmlformats.org/officeDocument/2006/relationships/fontTable" Target="fontTable.xml"/><Relationship Id="rId37" Type="http://schemas.openxmlformats.org/officeDocument/2006/relationships/settings" Target="settings.xml"/><Relationship Id="rId38" Type="http://schemas.openxmlformats.org/officeDocument/2006/relationships/theme" Target="theme/theme1.xml"/><Relationship Id="rId39"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
</Relationships>
</file>

<file path=word/_rels/header2.xml.rels><?xml version="1.0" encoding="UTF-8"?>
<Relationships xmlns="http://schemas.openxmlformats.org/package/2006/relationships"><Relationship Id="rId1" Type="http://schemas.openxmlformats.org/officeDocument/2006/relationships/image" Target="media/image3.jpeg"/>
</Relationships>
</file>

<file path=word/_rels/header5.xml.rels><?xml version="1.0" encoding="UTF-8"?>
<Relationships xmlns="http://schemas.openxmlformats.org/package/2006/relationships"><Relationship Id="rId1" Type="http://schemas.openxmlformats.org/officeDocument/2006/relationships/image" Target="media/image3.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XUkADdX4d5kGdNDExRMl6tDOg==">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4</TotalTime>
  <Application>LibreOffice/26.2.1.2$MacOSX_AARCH64 LibreOffice_project/8399f6259d8c87f40e7255cdb3c9b958f5e08948</Application>
  <AppVersion>15.0000</AppVersion>
  <Pages>28</Pages>
  <Words>9244</Words>
  <Characters>51674</Characters>
  <CharactersWithSpaces>60381</CharactersWithSpaces>
  <Paragraphs>411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pt-BR</dc:language>
  <cp:lastModifiedBy/>
  <dcterms:modified xsi:type="dcterms:W3CDTF">2026-06-11T10:54:10Z</dcterms:modified>
  <cp:revision>9</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HyperlinksChanged">
    <vt:lpwstr>false</vt:lpwstr>
  </property>
  <property fmtid="{D5CDD505-2E9C-101B-9397-08002B2CF9AE}" pid="4" name="ICV">
    <vt:lpwstr>BEDE091702A84956A79349E88EB4E56E_13</vt:lpwstr>
  </property>
  <property fmtid="{D5CDD505-2E9C-101B-9397-08002B2CF9AE}" pid="5" name="KSOProductBuildVer">
    <vt:lpwstr>1046-12.1.0.25242</vt:lpwstr>
  </property>
  <property fmtid="{D5CDD505-2E9C-101B-9397-08002B2CF9AE}" pid="6" name="KSOTemplateDocerSaveRecord">
    <vt:lpwstr>eyJoZGlkIjoiMWY2MDQwZDk1YTNhOGIxYzIwNWI3Zjg2NTEzY2Q4OWUiLCJ1c2VySWQiOiIxMjM2OTUxMzI3NjYwIn0=</vt:lpwstr>
  </property>
  <property fmtid="{D5CDD505-2E9C-101B-9397-08002B2CF9AE}" pid="7" name="LinksUpToDate">
    <vt:lpwstr>false</vt:lpwstr>
  </property>
  <property fmtid="{D5CDD505-2E9C-101B-9397-08002B2CF9AE}" pid="8" name="MediaServiceImageTags">
    <vt:lpwstr>MediaServiceImageTags</vt:lpwstr>
  </property>
  <property fmtid="{D5CDD505-2E9C-101B-9397-08002B2CF9AE}" pid="9" name="ScaleCrop">
    <vt:lpwstr>false</vt:lpwstr>
  </property>
  <property fmtid="{D5CDD505-2E9C-101B-9397-08002B2CF9AE}" pid="10" name="ShareDoc">
    <vt:lpwstr>false</vt:lpwstr>
  </property>
</Properties>
</file>